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_rels/chart6.xml.rels" ContentType="application/vnd.openxmlformats-package.relationships+xml"/>
  <Override PartName="/word/charts/_rels/chart7.xml.rels" ContentType="application/vnd.openxmlformats-package.relationships+xml"/>
  <Override PartName="/word/charts/_rels/chart8.xml.rels" ContentType="application/vnd.openxmlformats-package.relationship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Microsoft_Excel_Worksheet2.xlsx" ContentType="application/vnd.openxmlformats-officedocument.spreadsheetml.sheet"/>
  <Override PartName="/word/embeddings/Microsoft_Excel_Worksheet1.xlsx" ContentType="application/vnd.openxmlformats-officedocument.spreadsheetml.sheet"/>
  <Override PartName="/word/embeddings/Microsoft_Excel_Worksheet.xlsx" ContentType="application/vnd.openxmlformats-officedocument.spreadsheetml.sheet"/>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false"/>
        <w:spacing w:lineRule="auto" w:line="276"/>
        <w:jc w:val="both"/>
        <w:rPr>
          <w:rFonts w:eastAsia="Calibri"/>
          <w:b/>
          <w:b/>
          <w:sz w:val="26"/>
          <w:szCs w:val="26"/>
          <w:lang w:eastAsia="en-US"/>
        </w:rPr>
      </w:pPr>
      <w:r>
        <w:rPr>
          <w:rFonts w:eastAsia="Calibri"/>
          <w:b/>
          <w:sz w:val="26"/>
          <w:szCs w:val="26"/>
          <w:lang w:eastAsia="en-US"/>
        </w:rPr>
      </w:r>
    </w:p>
    <w:p>
      <w:pPr>
        <w:pStyle w:val="Normal"/>
        <w:jc w:val="both"/>
        <w:rPr/>
      </w:pPr>
      <w:r>
        <w:rPr/>
      </w:r>
    </w:p>
    <w:p>
      <w:pPr>
        <w:pStyle w:val="Normal"/>
        <w:spacing w:lineRule="auto" w:line="360"/>
        <w:ind w:firstLine="709"/>
        <w:jc w:val="both"/>
        <w:rPr>
          <w:sz w:val="26"/>
          <w:szCs w:val="26"/>
        </w:rPr>
      </w:pPr>
      <w:r>
        <w:rPr>
          <w:sz w:val="26"/>
          <w:szCs w:val="26"/>
        </w:rPr>
        <w:tab/>
        <w:tab/>
        <w:tab/>
        <w:tab/>
        <w:tab/>
        <w:tab/>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sz w:val="26"/>
          <w:szCs w:val="26"/>
        </w:rPr>
      </w:pPr>
      <w:r>
        <w:rPr>
          <w:sz w:val="26"/>
          <w:szCs w:val="26"/>
        </w:rPr>
      </w:r>
    </w:p>
    <w:p>
      <w:pPr>
        <w:pStyle w:val="Normal"/>
        <w:spacing w:lineRule="auto" w:line="360"/>
        <w:ind w:firstLine="709"/>
        <w:jc w:val="both"/>
        <w:rPr>
          <w:rFonts w:ascii="Calibri" w:hAnsi="Calibri" w:cs="Calibri" w:asciiTheme="minorHAnsi" w:cstheme="minorHAnsi" w:hAnsiTheme="minorHAnsi"/>
          <w:b/>
          <w:b/>
          <w:bCs/>
          <w:sz w:val="52"/>
          <w:szCs w:val="52"/>
        </w:rPr>
      </w:pPr>
      <w:r>
        <w:rPr>
          <w:rFonts w:cs="Calibri" w:cstheme="minorHAnsi" w:ascii="Calibri" w:hAnsi="Calibri"/>
          <w:b/>
          <w:bCs/>
          <w:sz w:val="52"/>
          <w:szCs w:val="52"/>
        </w:rPr>
      </w:r>
    </w:p>
    <w:p>
      <w:pPr>
        <w:pStyle w:val="Normal"/>
        <w:widowControl/>
        <w:suppressAutoHyphens w:val="false"/>
        <w:spacing w:lineRule="auto" w:line="276" w:before="0" w:after="200"/>
        <w:jc w:val="center"/>
        <w:rPr>
          <w:rFonts w:ascii="Monotype Corsiva" w:hAnsi="Monotype Corsiva" w:eastAsia="Calibri" w:cs="Arial"/>
          <w:b/>
          <w:b/>
          <w:sz w:val="72"/>
          <w:szCs w:val="72"/>
          <w:lang w:eastAsia="en-US"/>
        </w:rPr>
      </w:pPr>
      <w:r>
        <w:rPr>
          <w:rFonts w:cs="Calibri" w:ascii="Calibri" w:hAnsi="Calibri" w:asciiTheme="minorHAnsi" w:cstheme="minorHAnsi" w:hAnsiTheme="minorHAnsi"/>
          <w:b/>
          <w:bCs/>
          <w:sz w:val="52"/>
          <w:szCs w:val="52"/>
        </w:rPr>
        <w:t xml:space="preserve">Analiza lokalnego rynku pracy. </w:t>
      </w:r>
      <w:bookmarkStart w:id="0" w:name="_Hlk95215932"/>
      <w:bookmarkEnd w:id="0"/>
      <w:r>
        <w:rPr>
          <w:rFonts w:cs="Calibri" w:ascii="Calibri" w:hAnsi="Calibri" w:asciiTheme="minorHAnsi" w:cstheme="minorHAnsi" w:hAnsiTheme="minorHAnsi"/>
          <w:b/>
          <w:bCs/>
          <w:sz w:val="52"/>
          <w:szCs w:val="52"/>
        </w:rPr>
        <w:t xml:space="preserve">Środki finansowe przeznaczone na realizację programów na rzecz promocji zatrudnienia, łagodzenia skutków bezrobocia i aktywizacji zawodowej </w:t>
        <w:br/>
        <w:t>w roku 2022</w:t>
      </w:r>
    </w:p>
    <w:p>
      <w:pPr>
        <w:pStyle w:val="Normal"/>
        <w:widowControl/>
        <w:suppressAutoHyphens w:val="false"/>
        <w:spacing w:lineRule="auto" w:line="276" w:before="0" w:after="200"/>
        <w:jc w:val="center"/>
        <w:rPr>
          <w:rFonts w:ascii="Monotype Corsiva" w:hAnsi="Monotype Corsiva" w:eastAsia="Calibri" w:cs="Arial"/>
          <w:b/>
          <w:b/>
          <w:sz w:val="72"/>
          <w:szCs w:val="72"/>
          <w:lang w:eastAsia="en-US"/>
        </w:rPr>
      </w:pPr>
      <w:r>
        <w:rPr>
          <w:rFonts w:eastAsia="Calibri" w:cs="Arial" w:ascii="Monotype Corsiva" w:hAnsi="Monotype Corsiva"/>
          <w:b/>
          <w:sz w:val="72"/>
          <w:szCs w:val="72"/>
          <w:lang w:eastAsia="en-US"/>
        </w:rPr>
      </w:r>
    </w:p>
    <w:p>
      <w:pPr>
        <w:pStyle w:val="Normal"/>
        <w:widowControl/>
        <w:suppressAutoHyphens w:val="false"/>
        <w:spacing w:lineRule="auto" w:line="276" w:before="0" w:after="200"/>
        <w:jc w:val="center"/>
        <w:rPr>
          <w:rFonts w:ascii="Calibri" w:hAnsi="Calibri" w:eastAsia="Calibri" w:cs="Calibri" w:asciiTheme="minorHAnsi" w:cstheme="minorHAnsi" w:hAnsiTheme="minorHAnsi"/>
          <w:b/>
          <w:b/>
          <w:sz w:val="72"/>
          <w:szCs w:val="72"/>
          <w:lang w:eastAsia="en-US"/>
        </w:rPr>
      </w:pPr>
      <w:r>
        <w:rPr>
          <w:rFonts w:eastAsia="Calibri" w:cs="Calibri" w:cstheme="minorHAnsi" w:ascii="Calibri" w:hAnsi="Calibri"/>
          <w:b/>
          <w:sz w:val="72"/>
          <w:szCs w:val="72"/>
          <w:lang w:eastAsia="en-US"/>
        </w:rPr>
      </w:r>
    </w:p>
    <w:p>
      <w:pPr>
        <w:pStyle w:val="Normal"/>
        <w:widowControl/>
        <w:suppressAutoHyphens w:val="false"/>
        <w:spacing w:lineRule="auto" w:line="276" w:before="0" w:after="200"/>
        <w:jc w:val="center"/>
        <w:rPr>
          <w:rFonts w:ascii="Arial" w:hAnsi="Arial" w:eastAsia="Calibri" w:cs="Arial"/>
          <w:b/>
          <w:b/>
          <w:szCs w:val="24"/>
          <w:lang w:eastAsia="en-US"/>
        </w:rPr>
      </w:pPr>
      <w:r>
        <w:rPr>
          <w:rFonts w:eastAsia="Calibri" w:cs="Calibri" w:ascii="Calibri" w:hAnsi="Calibri" w:asciiTheme="minorHAnsi" w:cstheme="minorHAnsi" w:hAnsiTheme="minorHAnsi"/>
          <w:b/>
          <w:sz w:val="28"/>
          <w:szCs w:val="28"/>
          <w:lang w:eastAsia="en-US"/>
        </w:rPr>
        <w:t>Sosnowiec, Luty 2022 r.</w:t>
      </w:r>
      <w:r>
        <w:br w:type="page"/>
      </w:r>
    </w:p>
    <w:p>
      <w:pPr>
        <w:pStyle w:val="ListParagraph"/>
        <w:spacing w:lineRule="auto" w:line="276"/>
        <w:ind w:left="0" w:hanging="0"/>
        <w:jc w:val="both"/>
        <w:rPr>
          <w:rFonts w:eastAsia="Calibri"/>
          <w:b/>
          <w:b/>
          <w:szCs w:val="24"/>
          <w:lang w:eastAsia="en-US"/>
        </w:rPr>
      </w:pPr>
      <w:r>
        <w:rPr>
          <w:rFonts w:eastAsia="Calibri"/>
          <w:b/>
          <w:szCs w:val="24"/>
          <w:lang w:eastAsia="en-US"/>
        </w:rPr>
        <w:t>1. Stan bezrobocia.</w:t>
      </w:r>
    </w:p>
    <w:p>
      <w:pPr>
        <w:pStyle w:val="ListParagraph"/>
        <w:spacing w:lineRule="auto" w:line="276"/>
        <w:ind w:left="0" w:hanging="0"/>
        <w:jc w:val="both"/>
        <w:rPr>
          <w:szCs w:val="24"/>
        </w:rPr>
      </w:pPr>
      <w:r>
        <w:rPr>
          <w:szCs w:val="24"/>
        </w:rPr>
        <w:t xml:space="preserve">Na koniec grudnia 2021 r. w tut. Urzędzie zarejestrowanych było 4.307 bezrobotnych. </w:t>
        <w:br/>
        <w:t xml:space="preserve">W stosunku do stanu z grudnia 2020 r. liczba bezrobotnych zmniejszyła się o 583 osoby </w:t>
        <w:br/>
        <w:t xml:space="preserve">(tj. o 12 %). Stan ten jest konsekwencją zaistniałej sytuacji epidemiologicznej w kraju, która </w:t>
        <w:br/>
        <w:t>w znaczący sposób wpłynęła na funkcjonowanie wszystkich instytucji rynku pracy. Na skutek wprowadzenia stanu epidemii w dużym stopniu rynek pracy został czasowo zamknięty,</w:t>
        <w:br/>
        <w:t>co wpłynęło na duże zmiany w liczbie osób bezrobotnych.</w:t>
      </w:r>
    </w:p>
    <w:p>
      <w:pPr>
        <w:pStyle w:val="ListParagraph"/>
        <w:spacing w:lineRule="auto" w:line="276"/>
        <w:ind w:left="0" w:firstLine="708"/>
        <w:jc w:val="both"/>
        <w:rPr>
          <w:szCs w:val="24"/>
        </w:rPr>
      </w:pPr>
      <w:r>
        <w:rPr>
          <w:szCs w:val="24"/>
        </w:rPr>
      </w:r>
    </w:p>
    <w:p>
      <w:pPr>
        <w:pStyle w:val="Footnotetext"/>
        <w:spacing w:lineRule="auto" w:line="276"/>
        <w:jc w:val="both"/>
        <w:rPr>
          <w:szCs w:val="16"/>
        </w:rPr>
      </w:pPr>
      <w:r>
        <w:rPr>
          <w:szCs w:val="16"/>
        </w:rPr>
        <w:t>Tabela 1. Stan bezrobocia.</w:t>
      </w:r>
    </w:p>
    <w:tbl>
      <w:tblPr>
        <w:tblW w:w="9188" w:type="dxa"/>
        <w:jc w:val="center"/>
        <w:tblInd w:w="0" w:type="dxa"/>
        <w:tblBorders>
          <w:top w:val="double" w:sz="4" w:space="0" w:color="00000A"/>
          <w:left w:val="double" w:sz="4" w:space="0" w:color="00000A"/>
          <w:bottom w:val="double" w:sz="4" w:space="0" w:color="00000A"/>
          <w:right w:val="double" w:sz="4" w:space="0" w:color="00000A"/>
          <w:insideH w:val="double" w:sz="4" w:space="0" w:color="00000A"/>
          <w:insideV w:val="double" w:sz="4" w:space="0" w:color="00000A"/>
        </w:tblBorders>
        <w:tblCellMar>
          <w:top w:w="0" w:type="dxa"/>
          <w:left w:w="77" w:type="dxa"/>
          <w:bottom w:w="0" w:type="dxa"/>
          <w:right w:w="70" w:type="dxa"/>
        </w:tblCellMar>
        <w:tblLook w:firstRow="1" w:noVBand="1" w:lastRow="0" w:firstColumn="1" w:lastColumn="0" w:noHBand="0" w:val="04a0"/>
      </w:tblPr>
      <w:tblGrid>
        <w:gridCol w:w="2919"/>
        <w:gridCol w:w="1425"/>
        <w:gridCol w:w="1140"/>
        <w:gridCol w:w="1282"/>
        <w:gridCol w:w="1140"/>
        <w:gridCol w:w="1281"/>
      </w:tblGrid>
      <w:tr>
        <w:trPr>
          <w:trHeight w:val="284" w:hRule="atLeast"/>
          <w:cantSplit w:val="true"/>
        </w:trPr>
        <w:tc>
          <w:tcPr>
            <w:tcW w:w="2919" w:type="dxa"/>
            <w:vMerge w:val="restart"/>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8DB3E2" w:val="clear"/>
            <w:tcMar>
              <w:left w:w="77" w:type="dxa"/>
            </w:tcMar>
            <w:vAlign w:val="center"/>
          </w:tcPr>
          <w:p>
            <w:pPr>
              <w:pStyle w:val="Nagwek8"/>
              <w:spacing w:before="200" w:after="0"/>
              <w:jc w:val="center"/>
              <w:rPr>
                <w:rFonts w:ascii="Times New Roman" w:hAnsi="Times New Roman" w:eastAsia="Times New Roman"/>
                <w:b/>
                <w:b/>
                <w:lang w:eastAsia="en-US"/>
              </w:rPr>
            </w:pPr>
            <w:r>
              <w:rPr>
                <w:rFonts w:ascii="Times New Roman" w:hAnsi="Times New Roman"/>
                <w:b/>
                <w:i/>
              </w:rPr>
              <w:t>Wyszczególnienie</w:t>
            </w:r>
          </w:p>
        </w:tc>
        <w:tc>
          <w:tcPr>
            <w:tcW w:w="1425" w:type="dxa"/>
            <w:vMerge w:val="restart"/>
            <w:tcBorders>
              <w:top w:val="double" w:sz="4" w:space="0" w:color="00000A"/>
              <w:bottom w:val="double" w:sz="4" w:space="0" w:color="00000A"/>
              <w:right w:val="double" w:sz="4" w:space="0" w:color="00000A"/>
              <w:insideH w:val="double" w:sz="4" w:space="0" w:color="00000A"/>
              <w:insideV w:val="double" w:sz="4" w:space="0" w:color="00000A"/>
            </w:tcBorders>
            <w:shd w:color="auto" w:fill="8DB3E2" w:val="clear"/>
            <w:vAlign w:val="center"/>
          </w:tcPr>
          <w:p>
            <w:pPr>
              <w:pStyle w:val="Normal"/>
              <w:jc w:val="center"/>
              <w:rPr>
                <w:rFonts w:eastAsia="Calibri"/>
                <w:b/>
                <w:b/>
                <w:sz w:val="20"/>
              </w:rPr>
            </w:pPr>
            <w:r>
              <w:rPr>
                <w:b/>
                <w:sz w:val="20"/>
              </w:rPr>
              <w:t>31.12.</w:t>
            </w:r>
          </w:p>
          <w:p>
            <w:pPr>
              <w:pStyle w:val="Normal"/>
              <w:spacing w:lineRule="auto" w:line="276"/>
              <w:jc w:val="center"/>
              <w:rPr>
                <w:rFonts w:eastAsia="Calibri"/>
                <w:b/>
                <w:b/>
                <w:sz w:val="20"/>
                <w:lang w:eastAsia="en-US"/>
              </w:rPr>
            </w:pPr>
            <w:r>
              <w:rPr>
                <w:b/>
                <w:sz w:val="20"/>
              </w:rPr>
              <w:t>2020r.</w:t>
            </w:r>
          </w:p>
        </w:tc>
        <w:tc>
          <w:tcPr>
            <w:tcW w:w="4843" w:type="dxa"/>
            <w:gridSpan w:val="4"/>
            <w:tcBorders>
              <w:top w:val="double" w:sz="4" w:space="0" w:color="00000A"/>
              <w:bottom w:val="double" w:sz="4" w:space="0" w:color="00000A"/>
              <w:right w:val="double" w:sz="4" w:space="0" w:color="00000A"/>
              <w:insideH w:val="double" w:sz="4" w:space="0" w:color="00000A"/>
              <w:insideV w:val="double" w:sz="4" w:space="0" w:color="00000A"/>
            </w:tcBorders>
            <w:shd w:color="auto" w:fill="8DB3E2" w:val="clear"/>
            <w:vAlign w:val="center"/>
          </w:tcPr>
          <w:p>
            <w:pPr>
              <w:pStyle w:val="Normal"/>
              <w:spacing w:lineRule="auto" w:line="276"/>
              <w:jc w:val="center"/>
              <w:rPr>
                <w:rFonts w:eastAsia="Calibri"/>
                <w:b/>
                <w:b/>
                <w:sz w:val="20"/>
                <w:lang w:eastAsia="en-US"/>
              </w:rPr>
            </w:pPr>
            <w:r>
              <w:rPr>
                <w:b/>
                <w:sz w:val="20"/>
              </w:rPr>
              <w:t>2021r.</w:t>
            </w:r>
          </w:p>
        </w:tc>
      </w:tr>
      <w:tr>
        <w:trPr>
          <w:trHeight w:val="251" w:hRule="atLeast"/>
          <w:cantSplit w:val="true"/>
        </w:trPr>
        <w:tc>
          <w:tcPr>
            <w:tcW w:w="2919" w:type="dxa"/>
            <w:vMerge w:val="continue"/>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fill="auto" w:val="clear"/>
            <w:tcMar>
              <w:left w:w="77" w:type="dxa"/>
            </w:tcMar>
            <w:vAlign w:val="center"/>
          </w:tcPr>
          <w:p>
            <w:pPr>
              <w:pStyle w:val="Normal"/>
              <w:rPr>
                <w:rFonts w:eastAsia="Times New Roman"/>
                <w:b/>
                <w:b/>
                <w:iCs/>
                <w:sz w:val="20"/>
                <w:lang w:eastAsia="en-US"/>
              </w:rPr>
            </w:pPr>
            <w:r>
              <w:rPr>
                <w:rFonts w:eastAsia="Times New Roman"/>
                <w:b/>
                <w:iCs/>
                <w:sz w:val="20"/>
                <w:lang w:eastAsia="en-US"/>
              </w:rPr>
            </w:r>
          </w:p>
        </w:tc>
        <w:tc>
          <w:tcPr>
            <w:tcW w:w="1425" w:type="dxa"/>
            <w:vMerge w:val="continue"/>
            <w:tcBorders>
              <w:top w:val="double" w:sz="4" w:space="0" w:color="00000A"/>
              <w:bottom w:val="double" w:sz="4" w:space="0" w:color="00000A"/>
              <w:right w:val="double" w:sz="4" w:space="0" w:color="00000A"/>
              <w:insideH w:val="double" w:sz="4" w:space="0" w:color="00000A"/>
              <w:insideV w:val="double" w:sz="4" w:space="0" w:color="00000A"/>
            </w:tcBorders>
            <w:shd w:fill="auto" w:val="clear"/>
            <w:vAlign w:val="center"/>
          </w:tcPr>
          <w:p>
            <w:pPr>
              <w:pStyle w:val="Normal"/>
              <w:rPr>
                <w:rFonts w:eastAsia="Calibri"/>
                <w:b/>
                <w:b/>
                <w:sz w:val="20"/>
                <w:lang w:eastAsia="en-US"/>
              </w:rPr>
            </w:pPr>
            <w:r>
              <w:rPr>
                <w:rFonts w:eastAsia="Calibri"/>
                <w:b/>
                <w:sz w:val="20"/>
                <w:lang w:eastAsia="en-US"/>
              </w:rPr>
            </w:r>
          </w:p>
        </w:tc>
        <w:tc>
          <w:tcPr>
            <w:tcW w:w="1140" w:type="dxa"/>
            <w:tcBorders>
              <w:top w:val="double" w:sz="4" w:space="0" w:color="00000A"/>
              <w:bottom w:val="double" w:sz="4" w:space="0" w:color="00000A"/>
              <w:right w:val="double" w:sz="4" w:space="0" w:color="00000A"/>
              <w:insideH w:val="double" w:sz="4" w:space="0" w:color="00000A"/>
              <w:insideV w:val="double" w:sz="4" w:space="0" w:color="00000A"/>
            </w:tcBorders>
            <w:shd w:color="auto" w:fill="8DB3E2" w:val="clear"/>
            <w:vAlign w:val="center"/>
          </w:tcPr>
          <w:p>
            <w:pPr>
              <w:pStyle w:val="Normal"/>
              <w:spacing w:lineRule="auto" w:line="276"/>
              <w:jc w:val="center"/>
              <w:rPr>
                <w:rFonts w:eastAsia="Calibri"/>
                <w:b/>
                <w:b/>
                <w:sz w:val="20"/>
                <w:lang w:eastAsia="en-US"/>
              </w:rPr>
            </w:pPr>
            <w:r>
              <w:rPr>
                <w:b/>
                <w:sz w:val="20"/>
              </w:rPr>
              <w:t xml:space="preserve">I </w:t>
              <w:br/>
              <w:t>kwartał</w:t>
            </w:r>
          </w:p>
        </w:tc>
        <w:tc>
          <w:tcPr>
            <w:tcW w:w="1282" w:type="dxa"/>
            <w:tcBorders>
              <w:top w:val="double" w:sz="4" w:space="0" w:color="00000A"/>
              <w:left w:val="double" w:sz="4" w:space="0" w:color="00000A"/>
              <w:bottom w:val="double" w:sz="4" w:space="0" w:color="00000A"/>
              <w:right w:val="single" w:sz="4" w:space="0" w:color="00000A"/>
              <w:insideH w:val="double" w:sz="4" w:space="0" w:color="00000A"/>
              <w:insideV w:val="single" w:sz="4" w:space="0" w:color="00000A"/>
            </w:tcBorders>
            <w:shd w:color="auto" w:fill="8DB3E2" w:val="clear"/>
            <w:tcMar>
              <w:left w:w="77" w:type="dxa"/>
            </w:tcMar>
            <w:vAlign w:val="center"/>
          </w:tcPr>
          <w:p>
            <w:pPr>
              <w:pStyle w:val="Normal"/>
              <w:spacing w:lineRule="auto" w:line="276"/>
              <w:jc w:val="center"/>
              <w:rPr>
                <w:rFonts w:eastAsia="Calibri"/>
                <w:b/>
                <w:b/>
                <w:sz w:val="20"/>
                <w:lang w:eastAsia="en-US"/>
              </w:rPr>
            </w:pPr>
            <w:r>
              <w:rPr>
                <w:b/>
                <w:sz w:val="20"/>
              </w:rPr>
              <w:t xml:space="preserve">II </w:t>
              <w:br/>
              <w:t>kwartał</w:t>
            </w:r>
          </w:p>
        </w:tc>
        <w:tc>
          <w:tcPr>
            <w:tcW w:w="1140" w:type="dxa"/>
            <w:tcBorders>
              <w:top w:val="double" w:sz="4" w:space="0" w:color="00000A"/>
              <w:left w:val="single" w:sz="4" w:space="0" w:color="00000A"/>
              <w:bottom w:val="double" w:sz="4" w:space="0" w:color="00000A"/>
              <w:right w:val="double" w:sz="4" w:space="0" w:color="00000A"/>
              <w:insideH w:val="double" w:sz="4" w:space="0" w:color="00000A"/>
              <w:insideV w:val="double" w:sz="4" w:space="0" w:color="00000A"/>
            </w:tcBorders>
            <w:shd w:color="auto" w:fill="8DB3E2" w:val="clear"/>
            <w:tcMar>
              <w:left w:w="87" w:type="dxa"/>
            </w:tcMar>
            <w:vAlign w:val="center"/>
          </w:tcPr>
          <w:p>
            <w:pPr>
              <w:pStyle w:val="Normal"/>
              <w:jc w:val="center"/>
              <w:rPr>
                <w:rFonts w:eastAsia="Calibri"/>
                <w:b/>
                <w:b/>
                <w:sz w:val="20"/>
              </w:rPr>
            </w:pPr>
            <w:r>
              <w:rPr>
                <w:b/>
                <w:sz w:val="20"/>
              </w:rPr>
              <w:t xml:space="preserve">III </w:t>
            </w:r>
          </w:p>
          <w:p>
            <w:pPr>
              <w:pStyle w:val="Normal"/>
              <w:spacing w:lineRule="auto" w:line="276"/>
              <w:jc w:val="center"/>
              <w:rPr>
                <w:rFonts w:eastAsia="Calibri"/>
                <w:b/>
                <w:b/>
                <w:sz w:val="20"/>
                <w:lang w:eastAsia="en-US"/>
              </w:rPr>
            </w:pPr>
            <w:r>
              <w:rPr>
                <w:b/>
                <w:sz w:val="20"/>
              </w:rPr>
              <w:t>kwartał</w:t>
            </w:r>
          </w:p>
        </w:tc>
        <w:tc>
          <w:tcPr>
            <w:tcW w:w="1281" w:type="dxa"/>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8DB3E2" w:val="clear"/>
            <w:tcMar>
              <w:left w:w="77" w:type="dxa"/>
            </w:tcMar>
            <w:vAlign w:val="center"/>
          </w:tcPr>
          <w:p>
            <w:pPr>
              <w:pStyle w:val="Normal"/>
              <w:spacing w:lineRule="auto" w:line="276"/>
              <w:jc w:val="center"/>
              <w:rPr>
                <w:rFonts w:eastAsia="Calibri"/>
                <w:b/>
                <w:b/>
                <w:sz w:val="20"/>
                <w:lang w:eastAsia="en-US"/>
              </w:rPr>
            </w:pPr>
            <w:r>
              <w:rPr>
                <w:b/>
                <w:sz w:val="20"/>
              </w:rPr>
              <w:t>31.12.</w:t>
              <w:br/>
              <w:t>2021r.</w:t>
            </w:r>
          </w:p>
        </w:tc>
      </w:tr>
      <w:tr>
        <w:trPr>
          <w:trHeight w:val="514" w:hRule="atLeast"/>
        </w:trPr>
        <w:tc>
          <w:tcPr>
            <w:tcW w:w="2919" w:type="dxa"/>
            <w:tcBorders>
              <w:top w:val="doub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8DB3E2" w:val="clear"/>
            <w:tcMar>
              <w:left w:w="77" w:type="dxa"/>
            </w:tcMar>
            <w:vAlign w:val="center"/>
          </w:tcPr>
          <w:p>
            <w:pPr>
              <w:pStyle w:val="Normal"/>
              <w:spacing w:lineRule="auto" w:line="276" w:before="0" w:after="200"/>
              <w:ind w:left="284" w:hanging="284"/>
              <w:jc w:val="center"/>
              <w:rPr>
                <w:rFonts w:eastAsia="Calibri"/>
                <w:b/>
                <w:b/>
                <w:sz w:val="20"/>
                <w:lang w:eastAsia="en-US"/>
              </w:rPr>
            </w:pPr>
            <w:r>
              <w:rPr>
                <w:b/>
                <w:sz w:val="20"/>
              </w:rPr>
              <w:t>Liczba bezrobotnych</w:t>
            </w:r>
          </w:p>
        </w:tc>
        <w:tc>
          <w:tcPr>
            <w:tcW w:w="1425" w:type="dxa"/>
            <w:tcBorders>
              <w:top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spacing w:lineRule="auto" w:line="276" w:before="0" w:after="200"/>
              <w:jc w:val="center"/>
              <w:rPr>
                <w:rFonts w:eastAsia="Calibri"/>
                <w:sz w:val="20"/>
                <w:lang w:eastAsia="en-US"/>
              </w:rPr>
            </w:pPr>
            <w:r>
              <w:rPr>
                <w:b/>
                <w:sz w:val="20"/>
              </w:rPr>
              <w:t>4.890</w:t>
            </w:r>
          </w:p>
        </w:tc>
        <w:tc>
          <w:tcPr>
            <w:tcW w:w="1140" w:type="dxa"/>
            <w:tcBorders>
              <w:top w:val="doub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5.188</w:t>
            </w:r>
          </w:p>
        </w:tc>
        <w:tc>
          <w:tcPr>
            <w:tcW w:w="1282"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5.013</w:t>
            </w:r>
          </w:p>
        </w:tc>
        <w:tc>
          <w:tcPr>
            <w:tcW w:w="1140"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4.910</w:t>
            </w:r>
          </w:p>
        </w:tc>
        <w:tc>
          <w:tcPr>
            <w:tcW w:w="1281"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87" w:type="dxa"/>
            </w:tcMar>
            <w:vAlign w:val="center"/>
          </w:tcPr>
          <w:p>
            <w:pPr>
              <w:pStyle w:val="Normal"/>
              <w:spacing w:lineRule="auto" w:line="276" w:before="0" w:after="200"/>
              <w:jc w:val="center"/>
              <w:rPr>
                <w:rFonts w:eastAsia="Calibri"/>
                <w:b/>
                <w:b/>
                <w:sz w:val="20"/>
                <w:lang w:eastAsia="en-US"/>
              </w:rPr>
            </w:pPr>
            <w:r>
              <w:rPr>
                <w:b/>
                <w:sz w:val="20"/>
              </w:rPr>
              <w:t>4.307</w:t>
            </w:r>
          </w:p>
        </w:tc>
      </w:tr>
      <w:tr>
        <w:trPr>
          <w:trHeight w:val="376" w:hRule="atLeast"/>
          <w:cantSplit w:val="true"/>
        </w:trPr>
        <w:tc>
          <w:tcPr>
            <w:tcW w:w="9187" w:type="dxa"/>
            <w:gridSpan w:val="6"/>
            <w:tcBorders>
              <w:top w:val="doub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8DB3E2" w:val="clear"/>
            <w:tcMar>
              <w:left w:w="77" w:type="dxa"/>
            </w:tcMar>
            <w:vAlign w:val="center"/>
          </w:tcPr>
          <w:p>
            <w:pPr>
              <w:pStyle w:val="Normal"/>
              <w:spacing w:lineRule="auto" w:line="276" w:before="0" w:after="200"/>
              <w:jc w:val="center"/>
              <w:rPr>
                <w:rFonts w:eastAsia="Calibri"/>
                <w:sz w:val="20"/>
                <w:lang w:eastAsia="en-US"/>
              </w:rPr>
            </w:pPr>
            <w:r>
              <w:rPr>
                <w:b/>
                <w:sz w:val="20"/>
              </w:rPr>
              <w:t>Stopa bezrobocia</w:t>
            </w:r>
          </w:p>
        </w:tc>
      </w:tr>
      <w:tr>
        <w:trPr>
          <w:trHeight w:val="476" w:hRule="atLeast"/>
          <w:cantSplit w:val="true"/>
        </w:trPr>
        <w:tc>
          <w:tcPr>
            <w:tcW w:w="2919" w:type="dxa"/>
            <w:tcBorders>
              <w:top w:val="doub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8DB3E2" w:val="clear"/>
            <w:tcMar>
              <w:left w:w="77" w:type="dxa"/>
            </w:tcMar>
            <w:vAlign w:val="center"/>
          </w:tcPr>
          <w:p>
            <w:pPr>
              <w:pStyle w:val="Normal"/>
              <w:spacing w:lineRule="auto" w:line="276" w:before="0" w:after="200"/>
              <w:jc w:val="center"/>
              <w:rPr>
                <w:rFonts w:eastAsia="Calibri"/>
                <w:b/>
                <w:b/>
                <w:sz w:val="20"/>
                <w:lang w:eastAsia="en-US"/>
              </w:rPr>
            </w:pPr>
            <w:r>
              <w:rPr>
                <w:b/>
                <w:sz w:val="20"/>
              </w:rPr>
              <w:t>w Sosnowcu</w:t>
            </w:r>
          </w:p>
        </w:tc>
        <w:tc>
          <w:tcPr>
            <w:tcW w:w="1425" w:type="dxa"/>
            <w:tcBorders>
              <w:top w:val="doub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6,8</w:t>
            </w:r>
          </w:p>
        </w:tc>
        <w:tc>
          <w:tcPr>
            <w:tcW w:w="1140" w:type="dxa"/>
            <w:tcBorders>
              <w:top w:val="doub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7,2</w:t>
            </w:r>
          </w:p>
        </w:tc>
        <w:tc>
          <w:tcPr>
            <w:tcW w:w="1282"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7,0</w:t>
            </w:r>
          </w:p>
        </w:tc>
        <w:tc>
          <w:tcPr>
            <w:tcW w:w="1140" w:type="dxa"/>
            <w:tcBorders>
              <w:top w:val="doub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6,9</w:t>
            </w:r>
          </w:p>
        </w:tc>
        <w:tc>
          <w:tcPr>
            <w:tcW w:w="1281" w:type="dxa"/>
            <w:tcBorders>
              <w:top w:val="doub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87" w:type="dxa"/>
            </w:tcMar>
            <w:vAlign w:val="center"/>
          </w:tcPr>
          <w:p>
            <w:pPr>
              <w:pStyle w:val="Normal"/>
              <w:spacing w:lineRule="auto" w:line="276" w:before="0" w:after="200"/>
              <w:jc w:val="center"/>
              <w:rPr>
                <w:rFonts w:eastAsia="Calibri"/>
                <w:b/>
                <w:b/>
                <w:sz w:val="20"/>
                <w:lang w:eastAsia="en-US"/>
              </w:rPr>
            </w:pPr>
            <w:r>
              <w:rPr>
                <w:b/>
                <w:sz w:val="20"/>
              </w:rPr>
              <w:t>6,1</w:t>
            </w:r>
          </w:p>
        </w:tc>
      </w:tr>
      <w:tr>
        <w:trPr>
          <w:trHeight w:val="463" w:hRule="atLeast"/>
          <w:cantSplit w:val="true"/>
        </w:trPr>
        <w:tc>
          <w:tcPr>
            <w:tcW w:w="2919" w:type="dxa"/>
            <w:tcBorders>
              <w:top w:val="single" w:sz="4" w:space="0" w:color="00000A"/>
              <w:left w:val="double" w:sz="4" w:space="0" w:color="00000A"/>
              <w:bottom w:val="single" w:sz="4" w:space="0" w:color="00000A"/>
              <w:right w:val="double" w:sz="4" w:space="0" w:color="00000A"/>
              <w:insideH w:val="single" w:sz="4" w:space="0" w:color="00000A"/>
              <w:insideV w:val="double" w:sz="4" w:space="0" w:color="00000A"/>
            </w:tcBorders>
            <w:shd w:color="auto" w:fill="8DB3E2" w:val="clear"/>
            <w:tcMar>
              <w:left w:w="77" w:type="dxa"/>
            </w:tcMar>
            <w:vAlign w:val="center"/>
          </w:tcPr>
          <w:p>
            <w:pPr>
              <w:pStyle w:val="Normal"/>
              <w:spacing w:lineRule="auto" w:line="276" w:before="0" w:after="200"/>
              <w:jc w:val="center"/>
              <w:rPr>
                <w:rFonts w:eastAsia="Calibri"/>
                <w:b/>
                <w:b/>
                <w:sz w:val="20"/>
                <w:lang w:eastAsia="en-US"/>
              </w:rPr>
            </w:pPr>
            <w:r>
              <w:rPr>
                <w:b/>
                <w:sz w:val="20"/>
              </w:rPr>
              <w:t>w województwie</w:t>
            </w:r>
          </w:p>
        </w:tc>
        <w:tc>
          <w:tcPr>
            <w:tcW w:w="1425" w:type="dxa"/>
            <w:tcBorders>
              <w:top w:val="single" w:sz="4" w:space="0" w:color="00000A"/>
              <w:bottom w:val="single" w:sz="4" w:space="0" w:color="00000A"/>
              <w:right w:val="double" w:sz="4" w:space="0" w:color="00000A"/>
              <w:insideH w:val="single" w:sz="4" w:space="0" w:color="00000A"/>
              <w:insideV w:val="doub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4,9</w:t>
            </w:r>
          </w:p>
        </w:tc>
        <w:tc>
          <w:tcPr>
            <w:tcW w:w="114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5,2</w:t>
            </w:r>
          </w:p>
        </w:tc>
        <w:tc>
          <w:tcPr>
            <w:tcW w:w="12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4,8</w:t>
            </w:r>
          </w:p>
        </w:tc>
        <w:tc>
          <w:tcPr>
            <w:tcW w:w="11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4,5</w:t>
            </w:r>
          </w:p>
        </w:tc>
        <w:tc>
          <w:tcPr>
            <w:tcW w:w="1281" w:type="dxa"/>
            <w:tcBorders>
              <w:top w:val="single" w:sz="4" w:space="0" w:color="00000A"/>
              <w:left w:val="single" w:sz="4" w:space="0" w:color="00000A"/>
              <w:bottom w:val="single" w:sz="4" w:space="0" w:color="00000A"/>
              <w:right w:val="double" w:sz="4" w:space="0" w:color="00000A"/>
              <w:insideH w:val="single" w:sz="4" w:space="0" w:color="00000A"/>
              <w:insideV w:val="double" w:sz="4" w:space="0" w:color="00000A"/>
            </w:tcBorders>
            <w:shd w:fill="auto" w:val="clear"/>
            <w:tcMar>
              <w:left w:w="87" w:type="dxa"/>
            </w:tcMar>
            <w:vAlign w:val="center"/>
          </w:tcPr>
          <w:p>
            <w:pPr>
              <w:pStyle w:val="Normal"/>
              <w:spacing w:lineRule="auto" w:line="276" w:before="0" w:after="200"/>
              <w:jc w:val="center"/>
              <w:rPr>
                <w:rFonts w:eastAsia="Calibri"/>
                <w:b/>
                <w:b/>
                <w:sz w:val="20"/>
                <w:lang w:eastAsia="en-US"/>
              </w:rPr>
            </w:pPr>
            <w:r>
              <w:rPr>
                <w:b/>
                <w:sz w:val="20"/>
              </w:rPr>
              <w:t>4,2</w:t>
            </w:r>
          </w:p>
        </w:tc>
      </w:tr>
      <w:tr>
        <w:trPr>
          <w:trHeight w:val="539" w:hRule="atLeast"/>
          <w:cantSplit w:val="true"/>
        </w:trPr>
        <w:tc>
          <w:tcPr>
            <w:tcW w:w="2919" w:type="dxa"/>
            <w:tcBorders>
              <w:top w:val="single" w:sz="4" w:space="0" w:color="00000A"/>
              <w:left w:val="double" w:sz="4" w:space="0" w:color="00000A"/>
              <w:bottom w:val="double" w:sz="4" w:space="0" w:color="00000A"/>
              <w:right w:val="double" w:sz="4" w:space="0" w:color="00000A"/>
              <w:insideH w:val="double" w:sz="4" w:space="0" w:color="00000A"/>
              <w:insideV w:val="double" w:sz="4" w:space="0" w:color="00000A"/>
            </w:tcBorders>
            <w:shd w:color="auto" w:fill="8DB3E2" w:val="clear"/>
            <w:tcMar>
              <w:left w:w="77" w:type="dxa"/>
            </w:tcMar>
            <w:vAlign w:val="center"/>
          </w:tcPr>
          <w:p>
            <w:pPr>
              <w:pStyle w:val="Normal"/>
              <w:spacing w:lineRule="auto" w:line="276" w:before="0" w:after="200"/>
              <w:jc w:val="center"/>
              <w:rPr>
                <w:rFonts w:eastAsia="Calibri"/>
                <w:b/>
                <w:b/>
                <w:sz w:val="20"/>
                <w:lang w:eastAsia="en-US"/>
              </w:rPr>
            </w:pPr>
            <w:r>
              <w:rPr>
                <w:b/>
                <w:sz w:val="20"/>
              </w:rPr>
              <w:t>w kraju</w:t>
            </w:r>
          </w:p>
        </w:tc>
        <w:tc>
          <w:tcPr>
            <w:tcW w:w="1425" w:type="dxa"/>
            <w:tcBorders>
              <w:top w:val="single" w:sz="4" w:space="0" w:color="00000A"/>
              <w:bottom w:val="double" w:sz="4" w:space="0" w:color="00000A"/>
              <w:right w:val="double" w:sz="4" w:space="0" w:color="00000A"/>
              <w:insideH w:val="double" w:sz="4" w:space="0" w:color="00000A"/>
              <w:insideV w:val="doub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6,3</w:t>
            </w:r>
          </w:p>
        </w:tc>
        <w:tc>
          <w:tcPr>
            <w:tcW w:w="1140" w:type="dxa"/>
            <w:tcBorders>
              <w:top w:val="single" w:sz="4" w:space="0" w:color="00000A"/>
              <w:bottom w:val="double" w:sz="4" w:space="0" w:color="00000A"/>
              <w:right w:val="single" w:sz="4" w:space="0" w:color="00000A"/>
              <w:insideH w:val="double" w:sz="4" w:space="0" w:color="00000A"/>
              <w:insideV w:val="single" w:sz="4" w:space="0" w:color="00000A"/>
            </w:tcBorders>
            <w:shd w:fill="auto" w:val="clear"/>
            <w:vAlign w:val="center"/>
          </w:tcPr>
          <w:p>
            <w:pPr>
              <w:pStyle w:val="Normal"/>
              <w:spacing w:lineRule="auto" w:line="276" w:before="0" w:after="200"/>
              <w:jc w:val="center"/>
              <w:rPr>
                <w:rFonts w:eastAsia="Calibri"/>
                <w:sz w:val="20"/>
                <w:lang w:eastAsia="en-US"/>
              </w:rPr>
            </w:pPr>
            <w:r>
              <w:rPr>
                <w:sz w:val="20"/>
              </w:rPr>
              <w:t>6,4</w:t>
            </w:r>
          </w:p>
        </w:tc>
        <w:tc>
          <w:tcPr>
            <w:tcW w:w="1282"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6,0</w:t>
            </w:r>
          </w:p>
        </w:tc>
        <w:tc>
          <w:tcPr>
            <w:tcW w:w="1140" w:type="dxa"/>
            <w:tcBorders>
              <w:top w:val="single" w:sz="4" w:space="0" w:color="00000A"/>
              <w:left w:val="single" w:sz="4" w:space="0" w:color="00000A"/>
              <w:bottom w:val="double" w:sz="4" w:space="0" w:color="00000A"/>
              <w:right w:val="single" w:sz="4" w:space="0" w:color="00000A"/>
              <w:insideH w:val="double" w:sz="4" w:space="0" w:color="00000A"/>
              <w:insideV w:val="single" w:sz="4" w:space="0" w:color="00000A"/>
            </w:tcBorders>
            <w:shd w:fill="auto" w:val="clear"/>
            <w:tcMar>
              <w:left w:w="87" w:type="dxa"/>
            </w:tcMar>
            <w:vAlign w:val="center"/>
          </w:tcPr>
          <w:p>
            <w:pPr>
              <w:pStyle w:val="Normal"/>
              <w:spacing w:lineRule="auto" w:line="276" w:before="0" w:after="200"/>
              <w:jc w:val="center"/>
              <w:rPr>
                <w:rFonts w:eastAsia="Calibri"/>
                <w:sz w:val="20"/>
                <w:lang w:eastAsia="en-US"/>
              </w:rPr>
            </w:pPr>
            <w:r>
              <w:rPr>
                <w:sz w:val="20"/>
              </w:rPr>
              <w:t>5,6</w:t>
            </w:r>
          </w:p>
        </w:tc>
        <w:tc>
          <w:tcPr>
            <w:tcW w:w="1281" w:type="dxa"/>
            <w:tcBorders>
              <w:top w:val="single" w:sz="4" w:space="0" w:color="00000A"/>
              <w:left w:val="single" w:sz="4" w:space="0" w:color="00000A"/>
              <w:bottom w:val="double" w:sz="4" w:space="0" w:color="00000A"/>
              <w:right w:val="double" w:sz="4" w:space="0" w:color="00000A"/>
              <w:insideH w:val="double" w:sz="4" w:space="0" w:color="00000A"/>
              <w:insideV w:val="double" w:sz="4" w:space="0" w:color="00000A"/>
            </w:tcBorders>
            <w:shd w:fill="auto" w:val="clear"/>
            <w:tcMar>
              <w:left w:w="87" w:type="dxa"/>
            </w:tcMar>
            <w:vAlign w:val="center"/>
          </w:tcPr>
          <w:p>
            <w:pPr>
              <w:pStyle w:val="Normal"/>
              <w:spacing w:lineRule="auto" w:line="276" w:before="0" w:after="200"/>
              <w:jc w:val="center"/>
              <w:rPr>
                <w:rFonts w:eastAsia="Calibri"/>
                <w:b/>
                <w:b/>
                <w:sz w:val="20"/>
                <w:lang w:eastAsia="en-US"/>
              </w:rPr>
            </w:pPr>
            <w:r>
              <w:rPr>
                <w:b/>
                <w:sz w:val="20"/>
              </w:rPr>
              <w:t>5,4</w:t>
            </w:r>
          </w:p>
        </w:tc>
      </w:tr>
    </w:tbl>
    <w:p>
      <w:pPr>
        <w:pStyle w:val="Normal"/>
        <w:jc w:val="both"/>
        <w:rPr>
          <w:sz w:val="16"/>
          <w:szCs w:val="16"/>
        </w:rPr>
      </w:pPr>
      <w:r>
        <w:rPr>
          <w:sz w:val="16"/>
          <w:szCs w:val="16"/>
        </w:rPr>
        <w:t>Źródło: MRiPS 01 stan na 31.12.2021</w:t>
      </w:r>
    </w:p>
    <w:p>
      <w:pPr>
        <w:pStyle w:val="Normal"/>
        <w:jc w:val="both"/>
        <w:rPr>
          <w:sz w:val="16"/>
          <w:szCs w:val="16"/>
        </w:rPr>
      </w:pPr>
      <w:r>
        <w:rPr>
          <w:sz w:val="16"/>
          <w:szCs w:val="16"/>
        </w:rPr>
      </w:r>
    </w:p>
    <w:p>
      <w:pPr>
        <w:pStyle w:val="Normal"/>
        <w:jc w:val="both"/>
        <w:rPr>
          <w:rFonts w:eastAsia="Calibri"/>
          <w:sz w:val="16"/>
          <w:szCs w:val="16"/>
          <w:lang w:eastAsia="en-US"/>
        </w:rPr>
      </w:pPr>
      <w:r>
        <w:rPr>
          <w:rFonts w:eastAsia="Calibri"/>
          <w:sz w:val="16"/>
          <w:szCs w:val="16"/>
          <w:lang w:eastAsia="en-US"/>
        </w:rPr>
      </w:r>
    </w:p>
    <w:p>
      <w:pPr>
        <w:pStyle w:val="Normal"/>
        <w:rPr>
          <w:sz w:val="28"/>
          <w:szCs w:val="22"/>
        </w:rPr>
      </w:pPr>
      <w:r>
        <w:rPr>
          <w:sz w:val="20"/>
        </w:rPr>
        <w:t xml:space="preserve">Wykres 1. </w:t>
      </w:r>
      <w:r>
        <w:rPr>
          <w:bCs/>
          <w:sz w:val="20"/>
        </w:rPr>
        <w:t>Liczba zarejestrowanych bezrobotnych w tys.</w:t>
      </w:r>
      <w:r>
        <w:rPr>
          <w:sz w:val="20"/>
        </w:rPr>
        <w:t xml:space="preserve"> </w:t>
      </w:r>
      <w:r>
        <w:rPr>
          <w:bCs/>
          <w:sz w:val="20"/>
        </w:rPr>
        <w:t>Stan na koniec kwartału.</w:t>
      </w:r>
    </w:p>
    <w:p>
      <w:pPr>
        <w:pStyle w:val="Normal"/>
        <w:jc w:val="both"/>
        <w:rPr>
          <w:color w:val="000000" w:themeColor="text1"/>
          <w:szCs w:val="24"/>
        </w:rPr>
      </w:pPr>
      <w:r>
        <w:rPr/>
        <w:drawing>
          <wp:inline distT="0" distB="0" distL="0" distR="0">
            <wp:extent cx="5814060" cy="3562350"/>
            <wp:effectExtent l="0" t="0" r="0" b="0"/>
            <wp:docPr id="1"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r>
    </w:p>
    <w:p>
      <w:pPr>
        <w:pStyle w:val="Normal"/>
        <w:jc w:val="both"/>
        <w:rPr>
          <w:color w:val="000000" w:themeColor="text1"/>
          <w:szCs w:val="24"/>
        </w:rPr>
      </w:pPr>
      <w:r>
        <w:rPr>
          <w:color w:val="000000" w:themeColor="text1"/>
          <w:szCs w:val="24"/>
        </w:rPr>
        <w:t xml:space="preserve">Wraz ze spadkiem liczby zarejestrowanych zmniejszyła się stopa bezrobocia. W końcu grudnia 2021 r. stopa bezrobocia w Sosnowcu wynosiła 6,1 % (grudzień 2020 r. – 6,8 %). </w:t>
        <w:br/>
      </w:r>
    </w:p>
    <w:p>
      <w:pPr>
        <w:pStyle w:val="Normal"/>
        <w:jc w:val="both"/>
        <w:rPr>
          <w:color w:val="000000" w:themeColor="text1"/>
          <w:szCs w:val="24"/>
        </w:rPr>
      </w:pPr>
      <w:r>
        <w:rPr>
          <w:color w:val="000000" w:themeColor="text1"/>
          <w:szCs w:val="24"/>
        </w:rPr>
        <w:t xml:space="preserve">W województwie śląskim najwyższa stopa bezrobocia na koniec 2021 r. występowała: </w:t>
        <w:br/>
        <w:t>w Bytomiu – 8,4 %, w powiecie kłobuckim – 7,1 %, w Piekarach Śląskich – 6,8%. Stopę bezrobocia w kolejnych kwartałach 2021 r. obrazuje poniższy wykres.</w:t>
      </w:r>
    </w:p>
    <w:p>
      <w:pPr>
        <w:pStyle w:val="BodyText3"/>
        <w:spacing w:lineRule="auto" w:line="276" w:before="0" w:after="0"/>
        <w:rPr>
          <w:color w:val="000000" w:themeColor="text1"/>
          <w:sz w:val="24"/>
          <w:szCs w:val="24"/>
        </w:rPr>
      </w:pPr>
      <w:r>
        <w:rPr>
          <w:color w:val="000000" w:themeColor="text1"/>
          <w:sz w:val="24"/>
          <w:szCs w:val="24"/>
        </w:rPr>
      </w:r>
    </w:p>
    <w:p>
      <w:pPr>
        <w:pStyle w:val="Normal"/>
        <w:jc w:val="both"/>
        <w:rPr>
          <w:bCs/>
          <w:sz w:val="20"/>
        </w:rPr>
      </w:pPr>
      <w:r>
        <w:rPr>
          <w:sz w:val="20"/>
        </w:rPr>
        <w:t xml:space="preserve">Wykres 2. </w:t>
      </w:r>
      <w:r>
        <w:rPr>
          <w:bCs/>
          <w:sz w:val="20"/>
        </w:rPr>
        <w:t>Stopa bezrobocia.</w:t>
      </w:r>
    </w:p>
    <w:p>
      <w:pPr>
        <w:pStyle w:val="Normal"/>
        <w:jc w:val="both"/>
        <w:rPr>
          <w:color w:val="FF0000"/>
          <w:sz w:val="22"/>
          <w:szCs w:val="22"/>
        </w:rPr>
      </w:pPr>
      <w:r>
        <w:rPr/>
        <w:drawing>
          <wp:inline distT="0" distB="0" distL="0" distR="0">
            <wp:extent cx="5917565" cy="366649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p>
    <w:p>
      <w:pPr>
        <w:pStyle w:val="BodyText3"/>
        <w:spacing w:lineRule="auto" w:line="276"/>
        <w:jc w:val="both"/>
        <w:rPr>
          <w:sz w:val="18"/>
          <w:szCs w:val="18"/>
        </w:rPr>
      </w:pPr>
      <w:r>
        <w:rPr>
          <w:sz w:val="18"/>
          <w:szCs w:val="18"/>
          <w:vertAlign w:val="superscript"/>
        </w:rPr>
        <w:t>1</w:t>
      </w:r>
      <w:r>
        <w:rPr>
          <w:sz w:val="18"/>
          <w:szCs w:val="18"/>
        </w:rPr>
        <w:t>Stopa bezrobocia obliczona przez GUS jako procentowy udział bezrobotnych w liczbie czynnych zawodowo, szacowanej na koniec każdego prezentowanego okresu.</w:t>
      </w:r>
    </w:p>
    <w:p>
      <w:pPr>
        <w:pStyle w:val="Normal"/>
        <w:jc w:val="both"/>
        <w:rPr>
          <w:sz w:val="18"/>
          <w:szCs w:val="18"/>
        </w:rPr>
      </w:pPr>
      <w:r>
        <w:rPr>
          <w:sz w:val="18"/>
          <w:szCs w:val="18"/>
        </w:rPr>
        <w:t>Pod pojęciem ludności czynnej zawodowo, należy rozumieć zarówno osoby pracujące w jednostkach sektora publicznego</w:t>
        <w:br/>
        <w:t>i prywatnego, jak również osoby bezrobotne.</w:t>
      </w:r>
    </w:p>
    <w:p>
      <w:pPr>
        <w:pStyle w:val="Normal"/>
        <w:jc w:val="both"/>
        <w:rPr>
          <w:sz w:val="18"/>
          <w:szCs w:val="18"/>
          <w:vertAlign w:val="superscript"/>
        </w:rPr>
      </w:pPr>
      <w:r>
        <w:rPr>
          <w:sz w:val="18"/>
          <w:szCs w:val="18"/>
          <w:vertAlign w:val="superscript"/>
        </w:rPr>
      </w:r>
    </w:p>
    <w:p>
      <w:pPr>
        <w:pStyle w:val="Normal"/>
        <w:jc w:val="both"/>
        <w:rPr>
          <w:sz w:val="18"/>
          <w:szCs w:val="18"/>
          <w:vertAlign w:val="superscript"/>
        </w:rPr>
      </w:pPr>
      <w:r>
        <w:rPr>
          <w:sz w:val="18"/>
          <w:szCs w:val="18"/>
          <w:vertAlign w:val="superscript"/>
        </w:rPr>
      </w:r>
    </w:p>
    <w:p>
      <w:pPr>
        <w:pStyle w:val="Normal"/>
        <w:jc w:val="both"/>
        <w:rPr>
          <w:sz w:val="18"/>
          <w:szCs w:val="18"/>
          <w:vertAlign w:val="superscript"/>
        </w:rPr>
      </w:pPr>
      <w:r>
        <w:rPr>
          <w:sz w:val="18"/>
          <w:szCs w:val="18"/>
          <w:vertAlign w:val="superscript"/>
        </w:rPr>
      </w:r>
    </w:p>
    <w:p>
      <w:pPr>
        <w:pStyle w:val="Normal"/>
        <w:rPr>
          <w:szCs w:val="24"/>
        </w:rPr>
      </w:pPr>
      <w:r>
        <w:rPr>
          <w:szCs w:val="24"/>
        </w:rPr>
        <w:t xml:space="preserve">Wśród ogółu zarejestrowanych wg stanu na dzień 31.12.2021 r.: </w:t>
      </w:r>
    </w:p>
    <w:p>
      <w:pPr>
        <w:pStyle w:val="Normal"/>
        <w:widowControl/>
        <w:numPr>
          <w:ilvl w:val="0"/>
          <w:numId w:val="1"/>
        </w:numPr>
        <w:suppressAutoHyphens w:val="false"/>
        <w:spacing w:lineRule="auto" w:line="276"/>
        <w:ind w:left="284" w:hanging="284"/>
        <w:jc w:val="both"/>
        <w:rPr>
          <w:b/>
          <w:b/>
          <w:i/>
          <w:i/>
          <w:szCs w:val="24"/>
        </w:rPr>
      </w:pPr>
      <w:r>
        <w:rPr>
          <w:szCs w:val="24"/>
        </w:rPr>
        <w:t>83% (3,610)</w:t>
      </w:r>
      <w:r>
        <w:rPr>
          <w:b/>
          <w:i/>
          <w:szCs w:val="24"/>
        </w:rPr>
        <w:t xml:space="preserve"> </w:t>
      </w:r>
      <w:r>
        <w:rPr>
          <w:szCs w:val="24"/>
        </w:rPr>
        <w:t>stanowią osoby poprzednio pracujące (84,8% w 2020 r.),</w:t>
      </w:r>
    </w:p>
    <w:p>
      <w:pPr>
        <w:pStyle w:val="Normal"/>
        <w:widowControl/>
        <w:numPr>
          <w:ilvl w:val="0"/>
          <w:numId w:val="1"/>
        </w:numPr>
        <w:suppressAutoHyphens w:val="false"/>
        <w:spacing w:lineRule="auto" w:line="276"/>
        <w:ind w:left="284" w:hanging="284"/>
        <w:jc w:val="both"/>
        <w:rPr>
          <w:b/>
          <w:b/>
          <w:i/>
          <w:i/>
          <w:szCs w:val="24"/>
        </w:rPr>
      </w:pPr>
      <w:r>
        <w:rPr>
          <w:szCs w:val="24"/>
        </w:rPr>
        <w:t>16% (697) zarejestrowanych – to osoby dotychczas nie pracujące</w:t>
      </w:r>
      <w:r>
        <w:rPr>
          <w:b/>
          <w:i/>
          <w:szCs w:val="24"/>
        </w:rPr>
        <w:t xml:space="preserve"> </w:t>
      </w:r>
      <w:r>
        <w:rPr>
          <w:szCs w:val="24"/>
        </w:rPr>
        <w:t>(15,2% w 2020 r.),</w:t>
      </w:r>
    </w:p>
    <w:p>
      <w:pPr>
        <w:pStyle w:val="Normal"/>
        <w:widowControl/>
        <w:numPr>
          <w:ilvl w:val="0"/>
          <w:numId w:val="2"/>
        </w:numPr>
        <w:suppressAutoHyphens w:val="false"/>
        <w:spacing w:lineRule="auto" w:line="276"/>
        <w:ind w:left="284" w:hanging="284"/>
        <w:jc w:val="both"/>
        <w:rPr>
          <w:b/>
          <w:b/>
          <w:i/>
          <w:i/>
          <w:szCs w:val="24"/>
        </w:rPr>
      </w:pPr>
      <w:r>
        <w:rPr>
          <w:szCs w:val="24"/>
        </w:rPr>
        <w:t>11% (480) ogółu bezrobotnych, to osoby posiadające prawo</w:t>
      </w:r>
      <w:r>
        <w:rPr>
          <w:b/>
          <w:i/>
          <w:szCs w:val="24"/>
        </w:rPr>
        <w:t xml:space="preserve"> </w:t>
      </w:r>
      <w:r>
        <w:rPr>
          <w:szCs w:val="24"/>
        </w:rPr>
        <w:t xml:space="preserve">do zasiłku </w:t>
        <w:br/>
        <w:t>(14% w 2020 r.),</w:t>
      </w:r>
      <w:r>
        <w:rPr>
          <w:b/>
          <w:i/>
          <w:szCs w:val="24"/>
        </w:rPr>
        <w:t xml:space="preserve"> </w:t>
      </w:r>
    </w:p>
    <w:p>
      <w:pPr>
        <w:pStyle w:val="Normal"/>
        <w:widowControl/>
        <w:numPr>
          <w:ilvl w:val="0"/>
          <w:numId w:val="2"/>
        </w:numPr>
        <w:suppressAutoHyphens w:val="false"/>
        <w:spacing w:lineRule="auto" w:line="276"/>
        <w:ind w:left="284" w:hanging="284"/>
        <w:jc w:val="both"/>
        <w:rPr>
          <w:b/>
          <w:b/>
          <w:i/>
          <w:i/>
          <w:szCs w:val="24"/>
        </w:rPr>
      </w:pPr>
      <w:r>
        <w:rPr>
          <w:szCs w:val="24"/>
        </w:rPr>
        <w:t>6,8% (291)</w:t>
      </w:r>
      <w:r>
        <w:rPr>
          <w:b/>
          <w:i/>
          <w:szCs w:val="24"/>
        </w:rPr>
        <w:t xml:space="preserve"> </w:t>
      </w:r>
      <w:r>
        <w:rPr>
          <w:szCs w:val="24"/>
        </w:rPr>
        <w:t>to osoby niepełnosprawne</w:t>
      </w:r>
      <w:r>
        <w:rPr>
          <w:b/>
          <w:i/>
          <w:szCs w:val="24"/>
        </w:rPr>
        <w:t xml:space="preserve"> </w:t>
      </w:r>
      <w:r>
        <w:rPr>
          <w:szCs w:val="24"/>
        </w:rPr>
        <w:t>(7,2% w 2020 r.).</w:t>
      </w:r>
    </w:p>
    <w:p>
      <w:pPr>
        <w:pStyle w:val="BodyText3"/>
        <w:spacing w:lineRule="auto" w:line="276" w:before="0" w:after="0"/>
        <w:jc w:val="both"/>
        <w:rPr>
          <w:sz w:val="24"/>
          <w:szCs w:val="24"/>
        </w:rPr>
      </w:pPr>
      <w:r>
        <w:rPr>
          <w:sz w:val="24"/>
          <w:szCs w:val="24"/>
        </w:rPr>
      </w:r>
    </w:p>
    <w:p>
      <w:pPr>
        <w:pStyle w:val="BodyText3"/>
        <w:spacing w:lineRule="auto" w:line="276" w:before="0" w:after="0"/>
        <w:jc w:val="both"/>
        <w:rPr>
          <w:sz w:val="24"/>
          <w:szCs w:val="24"/>
        </w:rPr>
      </w:pPr>
      <w:r>
        <w:rPr>
          <w:sz w:val="24"/>
          <w:szCs w:val="24"/>
        </w:rPr>
        <w:t>W ogólnej liczbie bezrobotnych, 3.403 osób, to osoby będące w szczególnej sytuacji na rynku pracy.</w:t>
      </w:r>
    </w:p>
    <w:p>
      <w:pPr>
        <w:pStyle w:val="BodyText3"/>
        <w:spacing w:lineRule="auto" w:line="276" w:before="0" w:after="0"/>
        <w:jc w:val="both"/>
        <w:rPr>
          <w:sz w:val="24"/>
          <w:szCs w:val="24"/>
        </w:rPr>
      </w:pPr>
      <w:r>
        <w:rPr>
          <w:sz w:val="24"/>
          <w:szCs w:val="24"/>
        </w:rPr>
      </w:r>
      <w:r>
        <w:br w:type="page"/>
      </w:r>
    </w:p>
    <w:p>
      <w:pPr>
        <w:pStyle w:val="Normal"/>
        <w:rPr>
          <w:sz w:val="20"/>
        </w:rPr>
      </w:pPr>
      <w:r>
        <w:rPr>
          <w:sz w:val="20"/>
        </w:rPr>
        <w:t>Tabela 2. Bezrobotni w szczególnej sytuacji na rynku pracy.</w:t>
      </w:r>
    </w:p>
    <w:tbl>
      <w:tblPr>
        <w:tblW w:w="9315"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674"/>
        <w:gridCol w:w="1983"/>
        <w:gridCol w:w="1700"/>
        <w:gridCol w:w="1700"/>
        <w:gridCol w:w="1700"/>
        <w:gridCol w:w="1557"/>
      </w:tblGrid>
      <w:tr>
        <w:trPr>
          <w:trHeight w:val="307" w:hRule="atLeast"/>
        </w:trPr>
        <w:tc>
          <w:tcPr>
            <w:tcW w:w="67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jc w:val="center"/>
              <w:rPr>
                <w:rFonts w:eastAsia="Calibri"/>
                <w:b/>
                <w:b/>
                <w:lang w:eastAsia="en-US"/>
              </w:rPr>
            </w:pPr>
            <w:r>
              <w:rPr>
                <w:b/>
              </w:rPr>
              <w:t>L.p.</w:t>
            </w:r>
          </w:p>
        </w:tc>
        <w:tc>
          <w:tcPr>
            <w:tcW w:w="19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vertAlign w:val="superscript"/>
                <w:lang w:eastAsia="en-US"/>
              </w:rPr>
            </w:pPr>
            <w:r>
              <w:rPr>
                <w:b/>
              </w:rPr>
              <w:t>Osoby będące w szczególnej sytuacji na lokalnym rynku pracy</w:t>
            </w:r>
            <w:r>
              <w:rPr>
                <w:b/>
                <w:vertAlign w:val="superscript"/>
              </w:rPr>
              <w:t>*</w:t>
            </w:r>
          </w:p>
        </w:tc>
        <w:tc>
          <w:tcPr>
            <w:tcW w:w="340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2021 r.</w:t>
            </w:r>
          </w:p>
        </w:tc>
        <w:tc>
          <w:tcPr>
            <w:tcW w:w="325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2020 r.</w:t>
            </w:r>
          </w:p>
        </w:tc>
      </w:tr>
      <w:tr>
        <w:trPr>
          <w:trHeight w:val="1108" w:hRule="atLeast"/>
        </w:trPr>
        <w:tc>
          <w:tcPr>
            <w:tcW w:w="67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eastAsia="Calibri"/>
                <w:b/>
                <w:b/>
                <w:lang w:eastAsia="en-US"/>
              </w:rPr>
            </w:pPr>
            <w:r>
              <w:rPr>
                <w:rFonts w:eastAsia="Calibri"/>
                <w:b/>
                <w:lang w:eastAsia="en-US"/>
              </w:rPr>
            </w:r>
          </w:p>
        </w:tc>
        <w:tc>
          <w:tcPr>
            <w:tcW w:w="19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eastAsia="Calibri"/>
                <w:b/>
                <w:b/>
                <w:vertAlign w:val="superscript"/>
                <w:lang w:eastAsia="en-US"/>
              </w:rPr>
            </w:pPr>
            <w:r>
              <w:rPr>
                <w:rFonts w:eastAsia="Calibri"/>
                <w:b/>
                <w:vertAlign w:val="superscript"/>
                <w:lang w:eastAsia="en-US"/>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Bezrobotni zarejestrowani wg stanu na dzień 31.12.2021 r.</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eastAsia="Calibri"/>
                <w:b/>
                <w:b/>
              </w:rPr>
            </w:pPr>
            <w:r>
              <w:rPr>
                <w:b/>
              </w:rPr>
              <w:t xml:space="preserve">% </w:t>
              <w:br/>
              <w:t xml:space="preserve"> do ogółu</w:t>
            </w:r>
          </w:p>
          <w:p>
            <w:pPr>
              <w:pStyle w:val="Normal"/>
              <w:spacing w:lineRule="auto" w:line="276"/>
              <w:jc w:val="center"/>
              <w:rPr>
                <w:rFonts w:eastAsia="Calibri"/>
                <w:b/>
                <w:b/>
                <w:lang w:eastAsia="en-US"/>
              </w:rPr>
            </w:pPr>
            <w:r>
              <w:rPr>
                <w:b/>
              </w:rPr>
              <w:t xml:space="preserve">bezrobotnych </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Bezrobotni zarejestrowani wg stanu na dzień 31.12.2020 r.</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eastAsia="Calibri"/>
                <w:b/>
                <w:b/>
              </w:rPr>
            </w:pPr>
            <w:r>
              <w:rPr>
                <w:b/>
              </w:rPr>
              <w:t xml:space="preserve">% </w:t>
              <w:br/>
              <w:t>do ogółu</w:t>
            </w:r>
          </w:p>
          <w:p>
            <w:pPr>
              <w:pStyle w:val="Normal"/>
              <w:spacing w:lineRule="auto" w:line="276"/>
              <w:ind w:hanging="108"/>
              <w:jc w:val="center"/>
              <w:rPr>
                <w:rFonts w:eastAsia="Calibri"/>
                <w:b/>
                <w:b/>
                <w:lang w:eastAsia="en-US"/>
              </w:rPr>
            </w:pPr>
            <w:r>
              <w:rPr>
                <w:b/>
              </w:rPr>
              <w:t xml:space="preserve">bezrobotnych </w:t>
            </w:r>
          </w:p>
        </w:tc>
      </w:tr>
      <w:tr>
        <w:trPr>
          <w:trHeight w:val="1002" w:hRule="atLeast"/>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1.</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Do 30 roku życia</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603</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14</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843</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17</w:t>
            </w:r>
          </w:p>
        </w:tc>
      </w:tr>
      <w:tr>
        <w:trPr>
          <w:trHeight w:val="978" w:hRule="atLeast"/>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2.</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W tym do 25 roku życia</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230</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5</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337</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7</w:t>
            </w:r>
          </w:p>
        </w:tc>
      </w:tr>
      <w:tr>
        <w:trPr>
          <w:trHeight w:val="974" w:hRule="atLeast"/>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3.</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Długotrwale bezrobotne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2408</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56</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2.233</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46</w:t>
            </w:r>
          </w:p>
        </w:tc>
      </w:tr>
      <w:tr>
        <w:trPr>
          <w:trHeight w:val="1002" w:hRule="atLeast"/>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4.</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Powyżej 50 roku życia</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1.332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31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1.380</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28</w:t>
            </w:r>
          </w:p>
        </w:tc>
      </w:tr>
      <w:tr>
        <w:trPr>
          <w:trHeight w:val="1399" w:hRule="atLeast"/>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5.</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Posiadające co najmniej 1 dziecko do 6 roku życia</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487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11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529</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11</w:t>
            </w:r>
          </w:p>
        </w:tc>
      </w:tr>
      <w:tr>
        <w:trPr>
          <w:trHeight w:val="1453" w:hRule="atLeast"/>
        </w:trPr>
        <w:tc>
          <w:tcPr>
            <w:tcW w:w="6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6.</w:t>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Niepełnosprawne</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291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7</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lang w:eastAsia="en-US"/>
              </w:rPr>
            </w:pPr>
            <w:r>
              <w:rPr/>
              <w:t>276</w:t>
            </w:r>
          </w:p>
        </w:tc>
        <w:tc>
          <w:tcPr>
            <w:tcW w:w="15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200"/>
              <w:jc w:val="center"/>
              <w:rPr>
                <w:rFonts w:eastAsia="Calibri"/>
                <w:b/>
                <w:b/>
                <w:lang w:eastAsia="en-US"/>
              </w:rPr>
            </w:pPr>
            <w:r>
              <w:rPr>
                <w:b/>
              </w:rPr>
              <w:t>6</w:t>
            </w:r>
          </w:p>
        </w:tc>
      </w:tr>
    </w:tbl>
    <w:p>
      <w:pPr>
        <w:pStyle w:val="BodyText3"/>
        <w:spacing w:lineRule="auto" w:line="276" w:before="0" w:after="0"/>
        <w:ind w:left="-142" w:hanging="0"/>
        <w:rPr>
          <w:rFonts w:eastAsia="Times New Roman"/>
          <w:color w:val="FF0000"/>
          <w:sz w:val="28"/>
          <w:szCs w:val="28"/>
          <w:lang w:eastAsia="en-US"/>
        </w:rPr>
      </w:pPr>
      <w:r>
        <w:rPr>
          <w:sz w:val="18"/>
          <w:szCs w:val="18"/>
        </w:rPr>
        <w:t xml:space="preserve">* jedna osoba może spełniać kryteria aby zostać zakwalifikowana do kilku grup bezrobotnych będących w szczególnej sytuacji </w:t>
        <w:br/>
        <w:t xml:space="preserve">   na rynku pracy.</w:t>
      </w:r>
    </w:p>
    <w:p>
      <w:pPr>
        <w:pStyle w:val="BodyText3"/>
        <w:spacing w:lineRule="auto" w:line="276" w:before="0" w:after="0"/>
        <w:rPr>
          <w:b/>
          <w:b/>
          <w:sz w:val="28"/>
          <w:szCs w:val="28"/>
        </w:rPr>
      </w:pPr>
      <w:r>
        <w:rPr>
          <w:b/>
          <w:sz w:val="28"/>
          <w:szCs w:val="28"/>
        </w:rPr>
      </w:r>
    </w:p>
    <w:p>
      <w:pPr>
        <w:pStyle w:val="BodyText3"/>
        <w:spacing w:lineRule="auto" w:line="276" w:before="0" w:after="0"/>
        <w:rPr>
          <w:b/>
          <w:b/>
          <w:sz w:val="28"/>
          <w:szCs w:val="28"/>
        </w:rPr>
      </w:pPr>
      <w:r>
        <w:rPr>
          <w:b/>
          <w:sz w:val="28"/>
          <w:szCs w:val="28"/>
        </w:rPr>
      </w:r>
    </w:p>
    <w:p>
      <w:pPr>
        <w:pStyle w:val="BodyText3"/>
        <w:spacing w:lineRule="auto" w:line="276" w:before="0" w:after="0"/>
        <w:ind w:hanging="142"/>
        <w:rPr>
          <w:b/>
          <w:b/>
          <w:sz w:val="24"/>
          <w:szCs w:val="24"/>
        </w:rPr>
      </w:pPr>
      <w:r>
        <w:rPr>
          <w:b/>
          <w:sz w:val="24"/>
          <w:szCs w:val="24"/>
        </w:rPr>
        <w:t xml:space="preserve">2. Napływ i odpływ bezrobotnych w 2021 r. </w:t>
      </w:r>
    </w:p>
    <w:p>
      <w:pPr>
        <w:pStyle w:val="BodyText3"/>
        <w:spacing w:lineRule="auto" w:line="276" w:before="0" w:after="0"/>
        <w:ind w:left="502" w:hanging="0"/>
        <w:rPr>
          <w:sz w:val="24"/>
          <w:szCs w:val="24"/>
        </w:rPr>
      </w:pPr>
      <w:r>
        <w:rPr>
          <w:sz w:val="24"/>
          <w:szCs w:val="24"/>
        </w:rPr>
      </w:r>
    </w:p>
    <w:p>
      <w:pPr>
        <w:pStyle w:val="Tretekstu"/>
        <w:tabs>
          <w:tab w:val="left" w:pos="500" w:leader="none"/>
        </w:tabs>
        <w:spacing w:lineRule="auto" w:line="276" w:before="0" w:after="0"/>
        <w:jc w:val="both"/>
        <w:rPr>
          <w:szCs w:val="24"/>
        </w:rPr>
      </w:pPr>
      <w:r>
        <w:rPr>
          <w:szCs w:val="24"/>
        </w:rPr>
        <w:t>„</w:t>
      </w:r>
      <w:r>
        <w:rPr>
          <w:szCs w:val="24"/>
        </w:rPr>
        <w:t xml:space="preserve">Napływ” określa liczbę bezrobotnych, którzy w danym okresie sprawozdawczym zostali zarejestrowani w urzędzie pracy. W liczbie tej brane są pod uwagę osoby rejestrujące się po raz pierwszy oraz osoby rejestrujące się po raz kolejny. W grupie osób bezrobotnych nowo rejestrujących się możemy wyróżnić osoby napływające z zatrudnienia stałego, osoby, które brały udział w aktywnych formach przeciwdziałania bezrobociu oraz osoby napływające </w:t>
        <w:br/>
        <w:t>z bierności zawodowej.</w:t>
      </w:r>
    </w:p>
    <w:p>
      <w:pPr>
        <w:pStyle w:val="Tretekstu"/>
        <w:spacing w:lineRule="auto" w:line="276" w:before="0" w:after="0"/>
        <w:jc w:val="both"/>
        <w:rPr>
          <w:szCs w:val="24"/>
        </w:rPr>
      </w:pPr>
      <w:r>
        <w:rPr>
          <w:szCs w:val="24"/>
        </w:rPr>
        <w:t>„</w:t>
      </w:r>
      <w:r>
        <w:rPr>
          <w:szCs w:val="24"/>
        </w:rPr>
        <w:t>Odpływ” określa liczbę osób bezrobotnych, które w danym okresie sprawozdawczym zostały z różnych powodów wyłączone z ewidencji bezrobotnych. Odpływ może być wynikiem podjęcia pracy (stałej, w ramach aktywnych form przeciwdziałania bezrobociu) lub przejściem do bierności zawodowej. Innym powodem odpływu może być niepotwierdzenie gotowości do podjęcia pracy, dobrowolna rezygnacja ze statusu bezrobotnego, podjęcie nauki, ukończenie wieku produkcyjnego, nabycie praw emerytalnych lub rentowych oraz inne powody. Zarówno odpływ jak i napływ nie pozostają bez znaczenia dla wymiaru bezrobocia.</w:t>
      </w:r>
    </w:p>
    <w:p>
      <w:pPr>
        <w:pStyle w:val="Tretekstu"/>
        <w:spacing w:lineRule="auto" w:line="276" w:before="0" w:after="0"/>
        <w:jc w:val="both"/>
        <w:rPr>
          <w:szCs w:val="24"/>
        </w:rPr>
      </w:pPr>
      <w:r>
        <w:rPr>
          <w:szCs w:val="24"/>
        </w:rPr>
      </w:r>
    </w:p>
    <w:p>
      <w:pPr>
        <w:pStyle w:val="Tretekstu"/>
        <w:spacing w:lineRule="auto" w:line="276" w:before="0" w:after="0"/>
        <w:jc w:val="both"/>
        <w:rPr>
          <w:sz w:val="32"/>
          <w:szCs w:val="24"/>
        </w:rPr>
      </w:pPr>
      <w:r>
        <w:rPr>
          <w:sz w:val="32"/>
          <w:szCs w:val="24"/>
        </w:rPr>
      </w:r>
    </w:p>
    <w:p>
      <w:pPr>
        <w:pStyle w:val="Tretekstu"/>
        <w:spacing w:lineRule="auto" w:line="276" w:before="0" w:after="0"/>
        <w:jc w:val="both"/>
        <w:rPr>
          <w:sz w:val="32"/>
          <w:szCs w:val="24"/>
        </w:rPr>
      </w:pPr>
      <w:r>
        <w:rPr>
          <w:sz w:val="32"/>
          <w:szCs w:val="24"/>
        </w:rPr>
      </w:r>
    </w:p>
    <w:p>
      <w:pPr>
        <w:pStyle w:val="Normal"/>
        <w:rPr>
          <w:sz w:val="20"/>
          <w:szCs w:val="16"/>
        </w:rPr>
      </w:pPr>
      <w:r>
        <w:rPr>
          <w:sz w:val="20"/>
          <w:szCs w:val="16"/>
        </w:rPr>
        <w:t>Tabela 3. Napływ oraz odpływ liczby bezrobotnych.</w:t>
      </w:r>
    </w:p>
    <w:tbl>
      <w:tblPr>
        <w:tblW w:w="9923" w:type="dxa"/>
        <w:jc w:val="left"/>
        <w:tblInd w:w="-307" w:type="dxa"/>
        <w:tblBorders>
          <w:top w:val="double" w:sz="6" w:space="0" w:color="00000A"/>
          <w:left w:val="double" w:sz="6" w:space="0" w:color="00000A"/>
          <w:bottom w:val="double" w:sz="6" w:space="0" w:color="000001"/>
          <w:right w:val="double" w:sz="6" w:space="0" w:color="00000A"/>
          <w:insideH w:val="double" w:sz="6" w:space="0" w:color="000001"/>
          <w:insideV w:val="double" w:sz="6" w:space="0" w:color="00000A"/>
        </w:tblBorders>
        <w:tblCellMar>
          <w:top w:w="0" w:type="dxa"/>
          <w:left w:w="47" w:type="dxa"/>
          <w:bottom w:w="0" w:type="dxa"/>
          <w:right w:w="70" w:type="dxa"/>
        </w:tblCellMar>
        <w:tblLook w:firstRow="1" w:noVBand="1" w:lastRow="0" w:firstColumn="1" w:lastColumn="0" w:noHBand="0" w:val="04a0"/>
      </w:tblPr>
      <w:tblGrid>
        <w:gridCol w:w="850"/>
        <w:gridCol w:w="993"/>
        <w:gridCol w:w="1275"/>
        <w:gridCol w:w="1087"/>
        <w:gridCol w:w="1181"/>
        <w:gridCol w:w="1"/>
        <w:gridCol w:w="941"/>
        <w:gridCol w:w="1326"/>
        <w:gridCol w:w="1"/>
        <w:gridCol w:w="992"/>
        <w:gridCol w:w="1275"/>
      </w:tblGrid>
      <w:tr>
        <w:trPr>
          <w:trHeight w:val="330" w:hRule="atLeast"/>
        </w:trPr>
        <w:tc>
          <w:tcPr>
            <w:tcW w:w="850" w:type="dxa"/>
            <w:vMerge w:val="restart"/>
            <w:tcBorders>
              <w:top w:val="double" w:sz="6" w:space="0" w:color="00000A"/>
              <w:left w:val="double" w:sz="6" w:space="0" w:color="00000A"/>
              <w:bottom w:val="double" w:sz="6" w:space="0" w:color="000001"/>
              <w:right w:val="double" w:sz="6" w:space="0" w:color="00000A"/>
              <w:insideH w:val="double" w:sz="6" w:space="0" w:color="000001"/>
              <w:insideV w:val="double" w:sz="6" w:space="0" w:color="00000A"/>
            </w:tcBorders>
            <w:shd w:color="auto" w:fill="8DB3E2" w:val="clear"/>
            <w:tcMar>
              <w:left w:w="47" w:type="dxa"/>
            </w:tcMar>
            <w:vAlign w:val="center"/>
          </w:tcPr>
          <w:p>
            <w:pPr>
              <w:pStyle w:val="Normal"/>
              <w:spacing w:lineRule="auto" w:line="276" w:before="0" w:after="200"/>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4536" w:type="dxa"/>
            <w:gridSpan w:val="4"/>
            <w:tcBorders>
              <w:top w:val="double" w:sz="6" w:space="0" w:color="00000A"/>
              <w:bottom w:val="double" w:sz="6" w:space="0" w:color="00000A"/>
              <w:right w:val="double" w:sz="6" w:space="0" w:color="000001"/>
              <w:insideH w:val="double" w:sz="6" w:space="0" w:color="00000A"/>
              <w:insideV w:val="double" w:sz="6" w:space="0" w:color="000001"/>
            </w:tcBorders>
            <w:shd w:color="auto" w:fill="8DB3E2" w:val="clear"/>
            <w:vAlign w:val="center"/>
          </w:tcPr>
          <w:p>
            <w:pPr>
              <w:pStyle w:val="Normal"/>
              <w:jc w:val="center"/>
              <w:rPr>
                <w:rFonts w:eastAsia="Times New Roman"/>
                <w:color w:val="000000"/>
                <w:szCs w:val="22"/>
              </w:rPr>
            </w:pPr>
            <w:r>
              <w:rPr>
                <w:rFonts w:eastAsia="Times New Roman"/>
                <w:color w:val="000000"/>
              </w:rPr>
              <w:t>2021 r.</w:t>
            </w:r>
          </w:p>
        </w:tc>
        <w:tc>
          <w:tcPr>
            <w:tcW w:w="4536" w:type="dxa"/>
            <w:gridSpan w:val="6"/>
            <w:tcBorders>
              <w:top w:val="double" w:sz="6" w:space="0" w:color="00000A"/>
              <w:bottom w:val="double" w:sz="6" w:space="0" w:color="00000A"/>
              <w:right w:val="double" w:sz="6" w:space="0" w:color="000001"/>
              <w:insideH w:val="double" w:sz="6" w:space="0" w:color="00000A"/>
              <w:insideV w:val="double" w:sz="6" w:space="0" w:color="000001"/>
            </w:tcBorders>
            <w:shd w:color="auto" w:fill="8DB3E2" w:val="clear"/>
            <w:vAlign w:val="center"/>
          </w:tcPr>
          <w:p>
            <w:pPr>
              <w:pStyle w:val="Normal"/>
              <w:jc w:val="center"/>
              <w:rPr>
                <w:rFonts w:eastAsia="Times New Roman"/>
                <w:color w:val="000000"/>
                <w:szCs w:val="22"/>
              </w:rPr>
            </w:pPr>
            <w:r>
              <w:rPr>
                <w:rFonts w:eastAsia="Times New Roman"/>
                <w:color w:val="000000"/>
              </w:rPr>
              <w:t>2020 r.</w:t>
            </w:r>
          </w:p>
        </w:tc>
      </w:tr>
      <w:tr>
        <w:trPr>
          <w:trHeight w:val="330" w:hRule="atLeast"/>
        </w:trPr>
        <w:tc>
          <w:tcPr>
            <w:tcW w:w="850" w:type="dxa"/>
            <w:vMerge w:val="continue"/>
            <w:tcBorders>
              <w:top w:val="double" w:sz="6" w:space="0" w:color="00000A"/>
              <w:left w:val="double" w:sz="6" w:space="0" w:color="00000A"/>
              <w:bottom w:val="double" w:sz="6" w:space="0" w:color="000001"/>
              <w:right w:val="double" w:sz="6" w:space="0" w:color="00000A"/>
              <w:insideH w:val="double" w:sz="6" w:space="0" w:color="000001"/>
              <w:insideV w:val="double" w:sz="6" w:space="0" w:color="00000A"/>
            </w:tcBorders>
            <w:shd w:fill="auto" w:val="clear"/>
            <w:tcMar>
              <w:left w:w="47" w:type="dxa"/>
            </w:tcMar>
            <w:vAlign w:val="center"/>
          </w:tcPr>
          <w:p>
            <w:pPr>
              <w:pStyle w:val="Normal"/>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2268" w:type="dxa"/>
            <w:gridSpan w:val="2"/>
            <w:tcBorders>
              <w:top w:val="double" w:sz="6" w:space="0" w:color="00000A"/>
              <w:bottom w:val="double" w:sz="6" w:space="0" w:color="00000A"/>
              <w:right w:val="double" w:sz="6" w:space="0" w:color="000001"/>
              <w:insideH w:val="double" w:sz="6" w:space="0" w:color="00000A"/>
              <w:insideV w:val="double" w:sz="6" w:space="0" w:color="000001"/>
            </w:tcBorders>
            <w:shd w:color="auto" w:fill="8DB3E2" w:val="clear"/>
            <w:vAlign w:val="center"/>
          </w:tcPr>
          <w:p>
            <w:pPr>
              <w:pStyle w:val="Normal"/>
              <w:jc w:val="center"/>
              <w:rPr>
                <w:rFonts w:eastAsia="Times New Roman"/>
                <w:color w:val="000000"/>
                <w:szCs w:val="22"/>
              </w:rPr>
            </w:pPr>
            <w:r>
              <w:rPr>
                <w:rFonts w:eastAsia="Times New Roman"/>
                <w:color w:val="000000"/>
              </w:rPr>
              <w:t>napływ</w:t>
            </w:r>
          </w:p>
        </w:tc>
        <w:tc>
          <w:tcPr>
            <w:tcW w:w="2269" w:type="dxa"/>
            <w:gridSpan w:val="3"/>
            <w:tcBorders>
              <w:top w:val="double" w:sz="6" w:space="0" w:color="00000A"/>
              <w:bottom w:val="double" w:sz="6" w:space="0" w:color="00000A"/>
              <w:right w:val="double" w:sz="6" w:space="0" w:color="000001"/>
              <w:insideH w:val="double" w:sz="6" w:space="0" w:color="00000A"/>
              <w:insideV w:val="double" w:sz="6" w:space="0" w:color="000001"/>
            </w:tcBorders>
            <w:shd w:color="auto" w:fill="FFFF66" w:val="clear"/>
            <w:vAlign w:val="center"/>
          </w:tcPr>
          <w:p>
            <w:pPr>
              <w:pStyle w:val="Normal"/>
              <w:jc w:val="center"/>
              <w:rPr>
                <w:rFonts w:eastAsia="Times New Roman"/>
                <w:color w:val="000000"/>
                <w:szCs w:val="22"/>
              </w:rPr>
            </w:pPr>
            <w:r>
              <w:rPr>
                <w:rFonts w:eastAsia="Times New Roman"/>
                <w:color w:val="000000"/>
              </w:rPr>
              <w:t>odpływ</w:t>
            </w:r>
          </w:p>
        </w:tc>
        <w:tc>
          <w:tcPr>
            <w:tcW w:w="2268" w:type="dxa"/>
            <w:gridSpan w:val="3"/>
            <w:tcBorders>
              <w:top w:val="double" w:sz="6" w:space="0" w:color="00000A"/>
              <w:bottom w:val="double" w:sz="6" w:space="0" w:color="00000A"/>
              <w:right w:val="double" w:sz="6" w:space="0" w:color="000001"/>
              <w:insideH w:val="double" w:sz="6" w:space="0" w:color="00000A"/>
              <w:insideV w:val="double" w:sz="6" w:space="0" w:color="000001"/>
            </w:tcBorders>
            <w:shd w:color="auto" w:fill="8DB3E2" w:val="clear"/>
            <w:vAlign w:val="center"/>
          </w:tcPr>
          <w:p>
            <w:pPr>
              <w:pStyle w:val="Normal"/>
              <w:jc w:val="center"/>
              <w:rPr>
                <w:rFonts w:eastAsia="Times New Roman"/>
                <w:color w:val="000000"/>
                <w:szCs w:val="22"/>
              </w:rPr>
            </w:pPr>
            <w:r>
              <w:rPr>
                <w:rFonts w:eastAsia="Times New Roman"/>
                <w:color w:val="000000"/>
              </w:rPr>
              <w:t>napływ</w:t>
            </w:r>
          </w:p>
        </w:tc>
        <w:tc>
          <w:tcPr>
            <w:tcW w:w="2267" w:type="dxa"/>
            <w:gridSpan w:val="2"/>
            <w:tcBorders>
              <w:top w:val="double" w:sz="6" w:space="0" w:color="00000A"/>
              <w:bottom w:val="double" w:sz="6" w:space="0" w:color="00000A"/>
              <w:right w:val="double" w:sz="6" w:space="0" w:color="000001"/>
              <w:insideH w:val="double" w:sz="6" w:space="0" w:color="00000A"/>
              <w:insideV w:val="double" w:sz="6" w:space="0" w:color="000001"/>
            </w:tcBorders>
            <w:shd w:color="auto" w:fill="FFFF66" w:val="clear"/>
            <w:vAlign w:val="center"/>
          </w:tcPr>
          <w:p>
            <w:pPr>
              <w:pStyle w:val="Normal"/>
              <w:jc w:val="center"/>
              <w:rPr>
                <w:rFonts w:eastAsia="Times New Roman"/>
                <w:color w:val="000000"/>
                <w:szCs w:val="22"/>
              </w:rPr>
            </w:pPr>
            <w:r>
              <w:rPr>
                <w:rFonts w:eastAsia="Times New Roman"/>
                <w:color w:val="000000"/>
              </w:rPr>
              <w:t>odpływ</w:t>
            </w:r>
          </w:p>
        </w:tc>
      </w:tr>
      <w:tr>
        <w:trPr>
          <w:trHeight w:val="630" w:hRule="atLeast"/>
        </w:trPr>
        <w:tc>
          <w:tcPr>
            <w:tcW w:w="850" w:type="dxa"/>
            <w:vMerge w:val="continue"/>
            <w:tcBorders>
              <w:top w:val="double" w:sz="6" w:space="0" w:color="00000A"/>
              <w:left w:val="double" w:sz="6" w:space="0" w:color="00000A"/>
              <w:bottom w:val="double" w:sz="6" w:space="0" w:color="000001"/>
              <w:right w:val="double" w:sz="6" w:space="0" w:color="00000A"/>
              <w:insideH w:val="double" w:sz="6" w:space="0" w:color="000001"/>
              <w:insideV w:val="double" w:sz="6" w:space="0" w:color="00000A"/>
            </w:tcBorders>
            <w:shd w:fill="auto" w:val="clear"/>
            <w:tcMar>
              <w:left w:w="47" w:type="dxa"/>
            </w:tcMar>
            <w:vAlign w:val="center"/>
          </w:tcPr>
          <w:p>
            <w:pPr>
              <w:pStyle w:val="Normal"/>
              <w:rPr>
                <w:rFonts w:ascii="Calibri" w:hAnsi="Calibri" w:eastAsia="Calibri" w:cs="" w:asciiTheme="minorHAnsi" w:cstheme="minorBidi" w:eastAsiaTheme="minorHAnsi" w:hAnsiTheme="minorHAnsi"/>
                <w:szCs w:val="22"/>
                <w:lang w:eastAsia="en-US"/>
              </w:rPr>
            </w:pPr>
            <w:r>
              <w:rPr>
                <w:rFonts w:eastAsia="Calibri" w:cs="" w:cstheme="minorBidi" w:eastAsiaTheme="minorHAnsi" w:ascii="Calibri" w:hAnsi="Calibri"/>
                <w:szCs w:val="22"/>
                <w:lang w:eastAsia="en-US"/>
              </w:rPr>
            </w:r>
          </w:p>
        </w:tc>
        <w:tc>
          <w:tcPr>
            <w:tcW w:w="993" w:type="dxa"/>
            <w:tcBorders>
              <w:bottom w:val="double" w:sz="6" w:space="0" w:color="00000A"/>
              <w:right w:val="single" w:sz="8" w:space="0" w:color="00000A"/>
              <w:insideH w:val="double" w:sz="6"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kobiety</w:t>
            </w:r>
          </w:p>
        </w:tc>
        <w:tc>
          <w:tcPr>
            <w:tcW w:w="1275" w:type="dxa"/>
            <w:tcBorders>
              <w:bottom w:val="double" w:sz="6" w:space="0" w:color="00000A"/>
              <w:right w:val="double" w:sz="6" w:space="0" w:color="00000A"/>
              <w:insideH w:val="double" w:sz="6"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mężczyźni</w:t>
            </w:r>
          </w:p>
        </w:tc>
        <w:tc>
          <w:tcPr>
            <w:tcW w:w="1087" w:type="dxa"/>
            <w:tcBorders>
              <w:bottom w:val="double" w:sz="6" w:space="0" w:color="00000A"/>
              <w:right w:val="single" w:sz="8" w:space="0" w:color="00000A"/>
              <w:insideH w:val="double" w:sz="6"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kobiety</w:t>
            </w:r>
          </w:p>
        </w:tc>
        <w:tc>
          <w:tcPr>
            <w:tcW w:w="1182" w:type="dxa"/>
            <w:gridSpan w:val="2"/>
            <w:tcBorders>
              <w:bottom w:val="double" w:sz="6" w:space="0" w:color="00000A"/>
              <w:right w:val="double" w:sz="6" w:space="0" w:color="00000A"/>
              <w:insideH w:val="double" w:sz="6"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mężczyźni</w:t>
            </w:r>
          </w:p>
        </w:tc>
        <w:tc>
          <w:tcPr>
            <w:tcW w:w="941" w:type="dxa"/>
            <w:tcBorders>
              <w:bottom w:val="double" w:sz="6" w:space="0" w:color="00000A"/>
              <w:right w:val="single" w:sz="8" w:space="0" w:color="00000A"/>
              <w:insideH w:val="double" w:sz="6"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kobiety</w:t>
            </w:r>
          </w:p>
        </w:tc>
        <w:tc>
          <w:tcPr>
            <w:tcW w:w="1326" w:type="dxa"/>
            <w:tcBorders>
              <w:bottom w:val="double" w:sz="6" w:space="0" w:color="00000A"/>
              <w:right w:val="double" w:sz="6" w:space="0" w:color="00000A"/>
              <w:insideH w:val="double" w:sz="6"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mężczyźni</w:t>
            </w:r>
          </w:p>
        </w:tc>
        <w:tc>
          <w:tcPr>
            <w:tcW w:w="993" w:type="dxa"/>
            <w:gridSpan w:val="2"/>
            <w:tcBorders>
              <w:bottom w:val="double" w:sz="6" w:space="0" w:color="00000A"/>
              <w:right w:val="single" w:sz="8" w:space="0" w:color="00000A"/>
              <w:insideH w:val="double" w:sz="6"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kobiety</w:t>
            </w:r>
          </w:p>
        </w:tc>
        <w:tc>
          <w:tcPr>
            <w:tcW w:w="1275" w:type="dxa"/>
            <w:tcBorders>
              <w:bottom w:val="double" w:sz="6" w:space="0" w:color="00000A"/>
              <w:right w:val="double" w:sz="6" w:space="0" w:color="00000A"/>
              <w:insideH w:val="double" w:sz="6" w:space="0" w:color="00000A"/>
              <w:insideV w:val="double" w:sz="6" w:space="0" w:color="00000A"/>
            </w:tcBorders>
            <w:shd w:color="auto" w:fill="FFFF66" w:val="clear"/>
            <w:vAlign w:val="bottom"/>
          </w:tcPr>
          <w:p>
            <w:pPr>
              <w:pStyle w:val="Normal"/>
              <w:rPr>
                <w:rFonts w:eastAsia="Times New Roman"/>
                <w:color w:val="000000"/>
                <w:szCs w:val="22"/>
              </w:rPr>
            </w:pPr>
            <w:r>
              <w:rPr>
                <w:rFonts w:eastAsia="Times New Roman"/>
                <w:color w:val="000000"/>
              </w:rPr>
              <w:t>mężczyźni</w:t>
            </w:r>
          </w:p>
        </w:tc>
      </w:tr>
      <w:tr>
        <w:trPr>
          <w:trHeight w:val="330" w:hRule="atLeast"/>
        </w:trPr>
        <w:tc>
          <w:tcPr>
            <w:tcW w:w="850" w:type="dxa"/>
            <w:tcBorders>
              <w:left w:val="double" w:sz="6" w:space="0" w:color="00000A"/>
              <w:bottom w:val="single" w:sz="8" w:space="0" w:color="8064A2"/>
              <w:right w:val="double" w:sz="6" w:space="0" w:color="00000A"/>
              <w:insideH w:val="single" w:sz="8" w:space="0" w:color="8064A2"/>
              <w:insideV w:val="double" w:sz="6" w:space="0" w:color="00000A"/>
            </w:tcBorders>
            <w:shd w:fill="auto" w:val="clear"/>
            <w:tcMar>
              <w:left w:w="47" w:type="dxa"/>
            </w:tcMar>
            <w:vAlign w:val="center"/>
          </w:tcPr>
          <w:p>
            <w:pPr>
              <w:pStyle w:val="Normal"/>
              <w:jc w:val="center"/>
              <w:rPr>
                <w:rFonts w:eastAsia="Times New Roman"/>
                <w:color w:val="000000"/>
                <w:szCs w:val="22"/>
              </w:rPr>
            </w:pPr>
            <w:r>
              <w:rPr>
                <w:rFonts w:eastAsia="Times New Roman"/>
                <w:color w:val="000000"/>
              </w:rPr>
              <w:t>I</w:t>
            </w:r>
          </w:p>
        </w:tc>
        <w:tc>
          <w:tcPr>
            <w:tcW w:w="993"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267</w:t>
            </w:r>
          </w:p>
        </w:tc>
        <w:tc>
          <w:tcPr>
            <w:tcW w:w="1275"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232</w:t>
            </w:r>
          </w:p>
        </w:tc>
        <w:tc>
          <w:tcPr>
            <w:tcW w:w="1087" w:type="dxa"/>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166</w:t>
            </w:r>
          </w:p>
        </w:tc>
        <w:tc>
          <w:tcPr>
            <w:tcW w:w="1182" w:type="dxa"/>
            <w:gridSpan w:val="2"/>
            <w:tcBorders>
              <w:bottom w:val="single" w:sz="8" w:space="0" w:color="8064A2"/>
              <w:right w:val="double" w:sz="6" w:space="0" w:color="00000A"/>
              <w:insideH w:val="single" w:sz="8" w:space="0" w:color="8064A2"/>
              <w:insideV w:val="double" w:sz="6"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181</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420</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440</w:t>
            </w:r>
          </w:p>
        </w:tc>
        <w:tc>
          <w:tcPr>
            <w:tcW w:w="993" w:type="dxa"/>
            <w:gridSpan w:val="2"/>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265</w:t>
            </w:r>
          </w:p>
        </w:tc>
        <w:tc>
          <w:tcPr>
            <w:tcW w:w="1275" w:type="dxa"/>
            <w:tcBorders>
              <w:bottom w:val="single" w:sz="8" w:space="0" w:color="8064A2"/>
              <w:right w:val="double" w:sz="6" w:space="0" w:color="00000A"/>
              <w:insideH w:val="single" w:sz="8" w:space="0" w:color="8064A2"/>
              <w:insideV w:val="double" w:sz="6" w:space="0" w:color="00000A"/>
            </w:tcBorders>
            <w:shd w:color="auto" w:fill="FFFFFF" w:val="clear"/>
            <w:vAlign w:val="bottom"/>
          </w:tcPr>
          <w:p>
            <w:pPr>
              <w:pStyle w:val="Normal"/>
              <w:jc w:val="center"/>
              <w:rPr>
                <w:rFonts w:eastAsia="Times New Roman"/>
                <w:color w:val="000000"/>
                <w:szCs w:val="22"/>
              </w:rPr>
            </w:pPr>
            <w:r>
              <w:rPr>
                <w:rFonts w:eastAsia="Times New Roman"/>
                <w:color w:val="000000"/>
              </w:rPr>
              <w:t>271</w:t>
            </w:r>
          </w:p>
        </w:tc>
      </w:tr>
      <w:tr>
        <w:trPr>
          <w:trHeight w:val="315" w:hRule="atLeast"/>
        </w:trPr>
        <w:tc>
          <w:tcPr>
            <w:tcW w:w="850" w:type="dxa"/>
            <w:tcBorders>
              <w:left w:val="double" w:sz="6" w:space="0" w:color="00000A"/>
              <w:bottom w:val="single" w:sz="8" w:space="0" w:color="00000A"/>
              <w:right w:val="double" w:sz="6" w:space="0" w:color="00000A"/>
              <w:insideH w:val="single" w:sz="8" w:space="0" w:color="00000A"/>
              <w:insideV w:val="double" w:sz="6" w:space="0" w:color="00000A"/>
            </w:tcBorders>
            <w:shd w:color="auto" w:fill="C6D9F1" w:val="clear"/>
            <w:tcMar>
              <w:left w:w="47" w:type="dxa"/>
            </w:tcMar>
            <w:vAlign w:val="center"/>
          </w:tcPr>
          <w:p>
            <w:pPr>
              <w:pStyle w:val="Normal"/>
              <w:jc w:val="center"/>
              <w:rPr>
                <w:rFonts w:eastAsia="Times New Roman"/>
                <w:color w:val="000000"/>
                <w:szCs w:val="22"/>
              </w:rPr>
            </w:pPr>
            <w:r>
              <w:rPr>
                <w:rFonts w:eastAsia="Times New Roman"/>
                <w:color w:val="000000"/>
              </w:rPr>
              <w:t>II</w:t>
            </w:r>
          </w:p>
        </w:tc>
        <w:tc>
          <w:tcPr>
            <w:tcW w:w="993"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254</w:t>
            </w:r>
          </w:p>
        </w:tc>
        <w:tc>
          <w:tcPr>
            <w:tcW w:w="1275"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234</w:t>
            </w:r>
          </w:p>
        </w:tc>
        <w:tc>
          <w:tcPr>
            <w:tcW w:w="1087" w:type="dxa"/>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207</w:t>
            </w:r>
          </w:p>
        </w:tc>
        <w:tc>
          <w:tcPr>
            <w:tcW w:w="1182" w:type="dxa"/>
            <w:gridSpan w:val="2"/>
            <w:tcBorders>
              <w:bottom w:val="single" w:sz="8" w:space="0" w:color="00000A"/>
              <w:right w:val="double" w:sz="6" w:space="0" w:color="00000A"/>
              <w:insideH w:val="single" w:sz="8"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202</w:t>
            </w:r>
          </w:p>
        </w:tc>
        <w:tc>
          <w:tcPr>
            <w:tcW w:w="941"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267</w:t>
            </w:r>
          </w:p>
        </w:tc>
        <w:tc>
          <w:tcPr>
            <w:tcW w:w="1326"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404</w:t>
            </w:r>
          </w:p>
        </w:tc>
        <w:tc>
          <w:tcPr>
            <w:tcW w:w="993" w:type="dxa"/>
            <w:gridSpan w:val="2"/>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319</w:t>
            </w:r>
          </w:p>
        </w:tc>
        <w:tc>
          <w:tcPr>
            <w:tcW w:w="1275" w:type="dxa"/>
            <w:tcBorders>
              <w:bottom w:val="single" w:sz="8" w:space="0" w:color="00000A"/>
              <w:right w:val="double" w:sz="6" w:space="0" w:color="00000A"/>
              <w:insideH w:val="single" w:sz="8"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379</w:t>
            </w:r>
          </w:p>
        </w:tc>
      </w:tr>
      <w:tr>
        <w:trPr>
          <w:trHeight w:val="315" w:hRule="atLeast"/>
        </w:trPr>
        <w:tc>
          <w:tcPr>
            <w:tcW w:w="850" w:type="dxa"/>
            <w:tcBorders>
              <w:left w:val="double" w:sz="6" w:space="0" w:color="00000A"/>
              <w:bottom w:val="single" w:sz="8" w:space="0" w:color="8064A2"/>
              <w:right w:val="double" w:sz="6" w:space="0" w:color="00000A"/>
              <w:insideH w:val="single" w:sz="8" w:space="0" w:color="8064A2"/>
              <w:insideV w:val="double" w:sz="6" w:space="0" w:color="00000A"/>
            </w:tcBorders>
            <w:shd w:fill="auto" w:val="clear"/>
            <w:tcMar>
              <w:left w:w="47" w:type="dxa"/>
            </w:tcMar>
            <w:vAlign w:val="center"/>
          </w:tcPr>
          <w:p>
            <w:pPr>
              <w:pStyle w:val="Normal"/>
              <w:jc w:val="center"/>
              <w:rPr>
                <w:rFonts w:eastAsia="Times New Roman"/>
                <w:color w:val="000000"/>
                <w:szCs w:val="22"/>
              </w:rPr>
            </w:pPr>
            <w:r>
              <w:rPr>
                <w:rFonts w:eastAsia="Times New Roman"/>
                <w:color w:val="000000"/>
              </w:rPr>
              <w:t>III</w:t>
            </w:r>
          </w:p>
        </w:tc>
        <w:tc>
          <w:tcPr>
            <w:tcW w:w="993"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306</w:t>
            </w:r>
          </w:p>
        </w:tc>
        <w:tc>
          <w:tcPr>
            <w:tcW w:w="1275"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241</w:t>
            </w:r>
          </w:p>
        </w:tc>
        <w:tc>
          <w:tcPr>
            <w:tcW w:w="1087" w:type="dxa"/>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263</w:t>
            </w:r>
          </w:p>
        </w:tc>
        <w:tc>
          <w:tcPr>
            <w:tcW w:w="1182" w:type="dxa"/>
            <w:gridSpan w:val="2"/>
            <w:tcBorders>
              <w:bottom w:val="single" w:sz="8" w:space="0" w:color="8064A2"/>
              <w:right w:val="double" w:sz="6" w:space="0" w:color="00000A"/>
              <w:insideH w:val="single" w:sz="8" w:space="0" w:color="8064A2"/>
              <w:insideV w:val="double" w:sz="6"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217</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259</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293</w:t>
            </w:r>
          </w:p>
        </w:tc>
        <w:tc>
          <w:tcPr>
            <w:tcW w:w="993" w:type="dxa"/>
            <w:gridSpan w:val="2"/>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288</w:t>
            </w:r>
          </w:p>
        </w:tc>
        <w:tc>
          <w:tcPr>
            <w:tcW w:w="1275" w:type="dxa"/>
            <w:tcBorders>
              <w:bottom w:val="single" w:sz="8" w:space="0" w:color="8064A2"/>
              <w:right w:val="double" w:sz="6" w:space="0" w:color="00000A"/>
              <w:insideH w:val="single" w:sz="8" w:space="0" w:color="8064A2"/>
              <w:insideV w:val="double" w:sz="6" w:space="0" w:color="00000A"/>
            </w:tcBorders>
            <w:shd w:color="auto" w:fill="FFFFFF" w:val="clear"/>
            <w:vAlign w:val="bottom"/>
          </w:tcPr>
          <w:p>
            <w:pPr>
              <w:pStyle w:val="Normal"/>
              <w:jc w:val="center"/>
              <w:rPr>
                <w:rFonts w:eastAsia="Times New Roman"/>
                <w:color w:val="000000"/>
                <w:szCs w:val="22"/>
              </w:rPr>
            </w:pPr>
            <w:r>
              <w:rPr>
                <w:rFonts w:eastAsia="Times New Roman"/>
                <w:color w:val="000000"/>
              </w:rPr>
              <w:t>277</w:t>
            </w:r>
          </w:p>
        </w:tc>
      </w:tr>
      <w:tr>
        <w:trPr>
          <w:trHeight w:val="315" w:hRule="atLeast"/>
        </w:trPr>
        <w:tc>
          <w:tcPr>
            <w:tcW w:w="850" w:type="dxa"/>
            <w:tcBorders>
              <w:left w:val="double" w:sz="6" w:space="0" w:color="00000A"/>
              <w:bottom w:val="single" w:sz="8" w:space="0" w:color="00000A"/>
              <w:right w:val="double" w:sz="6" w:space="0" w:color="00000A"/>
              <w:insideH w:val="single" w:sz="8" w:space="0" w:color="00000A"/>
              <w:insideV w:val="double" w:sz="6" w:space="0" w:color="00000A"/>
            </w:tcBorders>
            <w:shd w:color="auto" w:fill="C6D9F1" w:val="clear"/>
            <w:tcMar>
              <w:left w:w="47" w:type="dxa"/>
            </w:tcMar>
            <w:vAlign w:val="center"/>
          </w:tcPr>
          <w:p>
            <w:pPr>
              <w:pStyle w:val="Normal"/>
              <w:jc w:val="center"/>
              <w:rPr>
                <w:rFonts w:eastAsia="Times New Roman"/>
                <w:color w:val="000000"/>
                <w:szCs w:val="22"/>
              </w:rPr>
            </w:pPr>
            <w:r>
              <w:rPr>
                <w:rFonts w:eastAsia="Times New Roman"/>
                <w:color w:val="000000"/>
              </w:rPr>
              <w:t>IV</w:t>
            </w:r>
          </w:p>
        </w:tc>
        <w:tc>
          <w:tcPr>
            <w:tcW w:w="993"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207</w:t>
            </w:r>
          </w:p>
        </w:tc>
        <w:tc>
          <w:tcPr>
            <w:tcW w:w="1275"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222</w:t>
            </w:r>
          </w:p>
        </w:tc>
        <w:tc>
          <w:tcPr>
            <w:tcW w:w="1087" w:type="dxa"/>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221</w:t>
            </w:r>
          </w:p>
        </w:tc>
        <w:tc>
          <w:tcPr>
            <w:tcW w:w="1182" w:type="dxa"/>
            <w:gridSpan w:val="2"/>
            <w:tcBorders>
              <w:bottom w:val="single" w:sz="8" w:space="0" w:color="00000A"/>
              <w:right w:val="double" w:sz="6" w:space="0" w:color="00000A"/>
              <w:insideH w:val="single" w:sz="8"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194</w:t>
            </w:r>
          </w:p>
        </w:tc>
        <w:tc>
          <w:tcPr>
            <w:tcW w:w="941"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231</w:t>
            </w:r>
          </w:p>
        </w:tc>
        <w:tc>
          <w:tcPr>
            <w:tcW w:w="1326"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243</w:t>
            </w:r>
          </w:p>
        </w:tc>
        <w:tc>
          <w:tcPr>
            <w:tcW w:w="993" w:type="dxa"/>
            <w:gridSpan w:val="2"/>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91</w:t>
            </w:r>
          </w:p>
        </w:tc>
        <w:tc>
          <w:tcPr>
            <w:tcW w:w="1275" w:type="dxa"/>
            <w:tcBorders>
              <w:bottom w:val="single" w:sz="8" w:space="0" w:color="00000A"/>
              <w:right w:val="double" w:sz="6" w:space="0" w:color="00000A"/>
              <w:insideH w:val="single" w:sz="8"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92</w:t>
            </w:r>
          </w:p>
        </w:tc>
      </w:tr>
      <w:tr>
        <w:trPr>
          <w:trHeight w:val="315" w:hRule="atLeast"/>
        </w:trPr>
        <w:tc>
          <w:tcPr>
            <w:tcW w:w="850" w:type="dxa"/>
            <w:tcBorders>
              <w:left w:val="double" w:sz="6" w:space="0" w:color="00000A"/>
              <w:bottom w:val="single" w:sz="8" w:space="0" w:color="8064A2"/>
              <w:right w:val="double" w:sz="6" w:space="0" w:color="00000A"/>
              <w:insideH w:val="single" w:sz="8" w:space="0" w:color="8064A2"/>
              <w:insideV w:val="double" w:sz="6" w:space="0" w:color="00000A"/>
            </w:tcBorders>
            <w:shd w:fill="auto" w:val="clear"/>
            <w:tcMar>
              <w:left w:w="47" w:type="dxa"/>
            </w:tcMar>
            <w:vAlign w:val="center"/>
          </w:tcPr>
          <w:p>
            <w:pPr>
              <w:pStyle w:val="Normal"/>
              <w:jc w:val="center"/>
              <w:rPr>
                <w:rFonts w:eastAsia="Times New Roman"/>
                <w:color w:val="000000"/>
                <w:szCs w:val="22"/>
              </w:rPr>
            </w:pPr>
            <w:r>
              <w:rPr>
                <w:rFonts w:eastAsia="Times New Roman"/>
                <w:color w:val="000000"/>
              </w:rPr>
              <w:t>V</w:t>
            </w:r>
          </w:p>
        </w:tc>
        <w:tc>
          <w:tcPr>
            <w:tcW w:w="993"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230</w:t>
            </w:r>
          </w:p>
        </w:tc>
        <w:tc>
          <w:tcPr>
            <w:tcW w:w="1275"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231</w:t>
            </w:r>
          </w:p>
        </w:tc>
        <w:tc>
          <w:tcPr>
            <w:tcW w:w="1087" w:type="dxa"/>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310</w:t>
            </w:r>
          </w:p>
        </w:tc>
        <w:tc>
          <w:tcPr>
            <w:tcW w:w="1182" w:type="dxa"/>
            <w:gridSpan w:val="2"/>
            <w:tcBorders>
              <w:bottom w:val="single" w:sz="8" w:space="0" w:color="8064A2"/>
              <w:right w:val="double" w:sz="6" w:space="0" w:color="00000A"/>
              <w:insideH w:val="single" w:sz="8" w:space="0" w:color="8064A2"/>
              <w:insideV w:val="double" w:sz="6"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233</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238</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239</w:t>
            </w:r>
          </w:p>
        </w:tc>
        <w:tc>
          <w:tcPr>
            <w:tcW w:w="993" w:type="dxa"/>
            <w:gridSpan w:val="2"/>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108</w:t>
            </w:r>
          </w:p>
        </w:tc>
        <w:tc>
          <w:tcPr>
            <w:tcW w:w="1275" w:type="dxa"/>
            <w:tcBorders>
              <w:bottom w:val="single" w:sz="8" w:space="0" w:color="8064A2"/>
              <w:right w:val="double" w:sz="6" w:space="0" w:color="00000A"/>
              <w:insideH w:val="single" w:sz="8" w:space="0" w:color="8064A2"/>
              <w:insideV w:val="double" w:sz="6" w:space="0" w:color="00000A"/>
            </w:tcBorders>
            <w:shd w:color="auto" w:fill="FFFFFF" w:val="clear"/>
            <w:vAlign w:val="bottom"/>
          </w:tcPr>
          <w:p>
            <w:pPr>
              <w:pStyle w:val="Normal"/>
              <w:jc w:val="center"/>
              <w:rPr>
                <w:rFonts w:eastAsia="Times New Roman"/>
                <w:color w:val="000000"/>
                <w:szCs w:val="22"/>
              </w:rPr>
            </w:pPr>
            <w:r>
              <w:rPr>
                <w:rFonts w:eastAsia="Times New Roman"/>
                <w:color w:val="000000"/>
              </w:rPr>
              <w:t>116</w:t>
            </w:r>
          </w:p>
        </w:tc>
      </w:tr>
      <w:tr>
        <w:trPr>
          <w:trHeight w:val="315" w:hRule="atLeast"/>
        </w:trPr>
        <w:tc>
          <w:tcPr>
            <w:tcW w:w="850" w:type="dxa"/>
            <w:tcBorders>
              <w:left w:val="double" w:sz="6" w:space="0" w:color="00000A"/>
              <w:bottom w:val="single" w:sz="8" w:space="0" w:color="00000A"/>
              <w:right w:val="double" w:sz="6" w:space="0" w:color="00000A"/>
              <w:insideH w:val="single" w:sz="8" w:space="0" w:color="00000A"/>
              <w:insideV w:val="double" w:sz="6" w:space="0" w:color="00000A"/>
            </w:tcBorders>
            <w:shd w:color="auto" w:fill="C6D9F1" w:val="clear"/>
            <w:tcMar>
              <w:left w:w="47" w:type="dxa"/>
            </w:tcMar>
            <w:vAlign w:val="center"/>
          </w:tcPr>
          <w:p>
            <w:pPr>
              <w:pStyle w:val="Normal"/>
              <w:jc w:val="center"/>
              <w:rPr>
                <w:rFonts w:eastAsia="Times New Roman"/>
                <w:color w:val="000000"/>
                <w:szCs w:val="22"/>
              </w:rPr>
            </w:pPr>
            <w:r>
              <w:rPr>
                <w:rFonts w:eastAsia="Times New Roman"/>
                <w:color w:val="000000"/>
              </w:rPr>
              <w:t>VI</w:t>
            </w:r>
          </w:p>
        </w:tc>
        <w:tc>
          <w:tcPr>
            <w:tcW w:w="993"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208</w:t>
            </w:r>
          </w:p>
        </w:tc>
        <w:tc>
          <w:tcPr>
            <w:tcW w:w="1275"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179</w:t>
            </w:r>
          </w:p>
        </w:tc>
        <w:tc>
          <w:tcPr>
            <w:tcW w:w="1087" w:type="dxa"/>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237</w:t>
            </w:r>
          </w:p>
        </w:tc>
        <w:tc>
          <w:tcPr>
            <w:tcW w:w="1182" w:type="dxa"/>
            <w:gridSpan w:val="2"/>
            <w:tcBorders>
              <w:bottom w:val="single" w:sz="8" w:space="0" w:color="00000A"/>
              <w:right w:val="double" w:sz="6" w:space="0" w:color="00000A"/>
              <w:insideH w:val="single" w:sz="8"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257</w:t>
            </w:r>
          </w:p>
        </w:tc>
        <w:tc>
          <w:tcPr>
            <w:tcW w:w="941"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263</w:t>
            </w:r>
          </w:p>
        </w:tc>
        <w:tc>
          <w:tcPr>
            <w:tcW w:w="1326"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260</w:t>
            </w:r>
          </w:p>
        </w:tc>
        <w:tc>
          <w:tcPr>
            <w:tcW w:w="993" w:type="dxa"/>
            <w:gridSpan w:val="2"/>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191</w:t>
            </w:r>
          </w:p>
        </w:tc>
        <w:tc>
          <w:tcPr>
            <w:tcW w:w="1275" w:type="dxa"/>
            <w:tcBorders>
              <w:bottom w:val="single" w:sz="8" w:space="0" w:color="00000A"/>
              <w:right w:val="double" w:sz="6" w:space="0" w:color="00000A"/>
              <w:insideH w:val="single" w:sz="8"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195</w:t>
            </w:r>
          </w:p>
        </w:tc>
      </w:tr>
      <w:tr>
        <w:trPr>
          <w:trHeight w:val="315" w:hRule="atLeast"/>
        </w:trPr>
        <w:tc>
          <w:tcPr>
            <w:tcW w:w="850" w:type="dxa"/>
            <w:tcBorders>
              <w:left w:val="double" w:sz="6" w:space="0" w:color="00000A"/>
              <w:bottom w:val="single" w:sz="8" w:space="0" w:color="8064A2"/>
              <w:right w:val="double" w:sz="6" w:space="0" w:color="00000A"/>
              <w:insideH w:val="single" w:sz="8" w:space="0" w:color="8064A2"/>
              <w:insideV w:val="double" w:sz="6" w:space="0" w:color="00000A"/>
            </w:tcBorders>
            <w:shd w:fill="auto" w:val="clear"/>
            <w:tcMar>
              <w:left w:w="47" w:type="dxa"/>
            </w:tcMar>
            <w:vAlign w:val="center"/>
          </w:tcPr>
          <w:p>
            <w:pPr>
              <w:pStyle w:val="Normal"/>
              <w:jc w:val="center"/>
              <w:rPr>
                <w:rFonts w:eastAsia="Times New Roman"/>
                <w:color w:val="000000"/>
                <w:szCs w:val="22"/>
              </w:rPr>
            </w:pPr>
            <w:r>
              <w:rPr>
                <w:rFonts w:eastAsia="Times New Roman"/>
                <w:color w:val="000000"/>
              </w:rPr>
              <w:t>VII</w:t>
            </w:r>
          </w:p>
        </w:tc>
        <w:tc>
          <w:tcPr>
            <w:tcW w:w="993"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229</w:t>
            </w:r>
          </w:p>
        </w:tc>
        <w:tc>
          <w:tcPr>
            <w:tcW w:w="1275"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219</w:t>
            </w:r>
          </w:p>
        </w:tc>
        <w:tc>
          <w:tcPr>
            <w:tcW w:w="1087" w:type="dxa"/>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257</w:t>
            </w:r>
          </w:p>
        </w:tc>
        <w:tc>
          <w:tcPr>
            <w:tcW w:w="1182" w:type="dxa"/>
            <w:gridSpan w:val="2"/>
            <w:tcBorders>
              <w:bottom w:val="single" w:sz="8" w:space="0" w:color="8064A2"/>
              <w:right w:val="double" w:sz="6" w:space="0" w:color="00000A"/>
              <w:insideH w:val="single" w:sz="8" w:space="0" w:color="8064A2"/>
              <w:insideV w:val="double" w:sz="6"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257</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282</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284</w:t>
            </w:r>
          </w:p>
        </w:tc>
        <w:tc>
          <w:tcPr>
            <w:tcW w:w="993" w:type="dxa"/>
            <w:gridSpan w:val="2"/>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227</w:t>
            </w:r>
          </w:p>
        </w:tc>
        <w:tc>
          <w:tcPr>
            <w:tcW w:w="1275" w:type="dxa"/>
            <w:tcBorders>
              <w:bottom w:val="single" w:sz="8" w:space="0" w:color="8064A2"/>
              <w:right w:val="double" w:sz="6" w:space="0" w:color="00000A"/>
              <w:insideH w:val="single" w:sz="8" w:space="0" w:color="8064A2"/>
              <w:insideV w:val="double" w:sz="6" w:space="0" w:color="00000A"/>
            </w:tcBorders>
            <w:shd w:color="auto" w:fill="FFFFFF" w:val="clear"/>
            <w:vAlign w:val="bottom"/>
          </w:tcPr>
          <w:p>
            <w:pPr>
              <w:pStyle w:val="Normal"/>
              <w:jc w:val="center"/>
              <w:rPr>
                <w:rFonts w:eastAsia="Times New Roman"/>
                <w:color w:val="000000"/>
                <w:szCs w:val="22"/>
              </w:rPr>
            </w:pPr>
            <w:r>
              <w:rPr>
                <w:rFonts w:eastAsia="Times New Roman"/>
                <w:color w:val="000000"/>
              </w:rPr>
              <w:t>266</w:t>
            </w:r>
          </w:p>
        </w:tc>
      </w:tr>
      <w:tr>
        <w:trPr>
          <w:trHeight w:val="315" w:hRule="atLeast"/>
        </w:trPr>
        <w:tc>
          <w:tcPr>
            <w:tcW w:w="850" w:type="dxa"/>
            <w:tcBorders>
              <w:left w:val="double" w:sz="6" w:space="0" w:color="00000A"/>
              <w:bottom w:val="single" w:sz="8" w:space="0" w:color="00000A"/>
              <w:right w:val="double" w:sz="6" w:space="0" w:color="00000A"/>
              <w:insideH w:val="single" w:sz="8" w:space="0" w:color="00000A"/>
              <w:insideV w:val="double" w:sz="6" w:space="0" w:color="00000A"/>
            </w:tcBorders>
            <w:shd w:color="auto" w:fill="C6D9F1" w:val="clear"/>
            <w:tcMar>
              <w:left w:w="47" w:type="dxa"/>
            </w:tcMar>
            <w:vAlign w:val="center"/>
          </w:tcPr>
          <w:p>
            <w:pPr>
              <w:pStyle w:val="Normal"/>
              <w:jc w:val="center"/>
              <w:rPr>
                <w:rFonts w:eastAsia="Times New Roman"/>
                <w:color w:val="000000"/>
                <w:szCs w:val="22"/>
              </w:rPr>
            </w:pPr>
            <w:r>
              <w:rPr>
                <w:rFonts w:eastAsia="Times New Roman"/>
                <w:color w:val="000000"/>
              </w:rPr>
              <w:t>VIII</w:t>
            </w:r>
          </w:p>
        </w:tc>
        <w:tc>
          <w:tcPr>
            <w:tcW w:w="993"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211</w:t>
            </w:r>
          </w:p>
        </w:tc>
        <w:tc>
          <w:tcPr>
            <w:tcW w:w="1275"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189</w:t>
            </w:r>
          </w:p>
        </w:tc>
        <w:tc>
          <w:tcPr>
            <w:tcW w:w="1087" w:type="dxa"/>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205</w:t>
            </w:r>
          </w:p>
        </w:tc>
        <w:tc>
          <w:tcPr>
            <w:tcW w:w="1182" w:type="dxa"/>
            <w:gridSpan w:val="2"/>
            <w:tcBorders>
              <w:bottom w:val="single" w:sz="8" w:space="0" w:color="00000A"/>
              <w:right w:val="double" w:sz="6" w:space="0" w:color="00000A"/>
              <w:insideH w:val="single" w:sz="8"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230</w:t>
            </w:r>
          </w:p>
        </w:tc>
        <w:tc>
          <w:tcPr>
            <w:tcW w:w="941"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249</w:t>
            </w:r>
          </w:p>
        </w:tc>
        <w:tc>
          <w:tcPr>
            <w:tcW w:w="1326"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237</w:t>
            </w:r>
          </w:p>
        </w:tc>
        <w:tc>
          <w:tcPr>
            <w:tcW w:w="993" w:type="dxa"/>
            <w:gridSpan w:val="2"/>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221</w:t>
            </w:r>
          </w:p>
        </w:tc>
        <w:tc>
          <w:tcPr>
            <w:tcW w:w="1275" w:type="dxa"/>
            <w:tcBorders>
              <w:bottom w:val="single" w:sz="8" w:space="0" w:color="00000A"/>
              <w:right w:val="double" w:sz="6" w:space="0" w:color="00000A"/>
              <w:insideH w:val="single" w:sz="8"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166</w:t>
            </w:r>
          </w:p>
        </w:tc>
      </w:tr>
      <w:tr>
        <w:trPr>
          <w:trHeight w:val="315" w:hRule="atLeast"/>
        </w:trPr>
        <w:tc>
          <w:tcPr>
            <w:tcW w:w="850" w:type="dxa"/>
            <w:tcBorders>
              <w:left w:val="double" w:sz="6" w:space="0" w:color="00000A"/>
              <w:bottom w:val="single" w:sz="8" w:space="0" w:color="8064A2"/>
              <w:right w:val="double" w:sz="6" w:space="0" w:color="00000A"/>
              <w:insideH w:val="single" w:sz="8" w:space="0" w:color="8064A2"/>
              <w:insideV w:val="double" w:sz="6" w:space="0" w:color="00000A"/>
            </w:tcBorders>
            <w:shd w:fill="auto" w:val="clear"/>
            <w:tcMar>
              <w:left w:w="47" w:type="dxa"/>
            </w:tcMar>
            <w:vAlign w:val="center"/>
          </w:tcPr>
          <w:p>
            <w:pPr>
              <w:pStyle w:val="Normal"/>
              <w:jc w:val="center"/>
              <w:rPr>
                <w:rFonts w:eastAsia="Times New Roman"/>
                <w:color w:val="000000"/>
                <w:szCs w:val="22"/>
              </w:rPr>
            </w:pPr>
            <w:r>
              <w:rPr>
                <w:rFonts w:eastAsia="Times New Roman"/>
                <w:color w:val="000000"/>
              </w:rPr>
              <w:t>IX</w:t>
            </w:r>
          </w:p>
        </w:tc>
        <w:tc>
          <w:tcPr>
            <w:tcW w:w="993"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301</w:t>
            </w:r>
          </w:p>
        </w:tc>
        <w:tc>
          <w:tcPr>
            <w:tcW w:w="1275"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285</w:t>
            </w:r>
          </w:p>
        </w:tc>
        <w:tc>
          <w:tcPr>
            <w:tcW w:w="1087" w:type="dxa"/>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334</w:t>
            </w:r>
          </w:p>
        </w:tc>
        <w:tc>
          <w:tcPr>
            <w:tcW w:w="1182" w:type="dxa"/>
            <w:gridSpan w:val="2"/>
            <w:tcBorders>
              <w:bottom w:val="single" w:sz="8" w:space="0" w:color="8064A2"/>
              <w:right w:val="double" w:sz="6" w:space="0" w:color="00000A"/>
              <w:insideH w:val="single" w:sz="8" w:space="0" w:color="8064A2"/>
              <w:insideV w:val="double" w:sz="6"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254</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310</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248</w:t>
            </w:r>
          </w:p>
        </w:tc>
        <w:tc>
          <w:tcPr>
            <w:tcW w:w="993" w:type="dxa"/>
            <w:gridSpan w:val="2"/>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284</w:t>
            </w:r>
          </w:p>
        </w:tc>
        <w:tc>
          <w:tcPr>
            <w:tcW w:w="1275" w:type="dxa"/>
            <w:tcBorders>
              <w:bottom w:val="single" w:sz="8" w:space="0" w:color="8064A2"/>
              <w:right w:val="double" w:sz="6" w:space="0" w:color="00000A"/>
              <w:insideH w:val="single" w:sz="8" w:space="0" w:color="8064A2"/>
              <w:insideV w:val="double" w:sz="6" w:space="0" w:color="00000A"/>
            </w:tcBorders>
            <w:shd w:color="auto" w:fill="FFFFFF" w:val="clear"/>
            <w:vAlign w:val="bottom"/>
          </w:tcPr>
          <w:p>
            <w:pPr>
              <w:pStyle w:val="Normal"/>
              <w:jc w:val="center"/>
              <w:rPr>
                <w:rFonts w:eastAsia="Times New Roman"/>
                <w:color w:val="000000"/>
                <w:szCs w:val="22"/>
              </w:rPr>
            </w:pPr>
            <w:r>
              <w:rPr>
                <w:rFonts w:eastAsia="Times New Roman"/>
                <w:color w:val="000000"/>
              </w:rPr>
              <w:t>262</w:t>
            </w:r>
          </w:p>
        </w:tc>
      </w:tr>
      <w:tr>
        <w:trPr>
          <w:trHeight w:val="315" w:hRule="atLeast"/>
        </w:trPr>
        <w:tc>
          <w:tcPr>
            <w:tcW w:w="850" w:type="dxa"/>
            <w:tcBorders>
              <w:left w:val="double" w:sz="6" w:space="0" w:color="00000A"/>
              <w:bottom w:val="single" w:sz="8" w:space="0" w:color="00000A"/>
              <w:right w:val="double" w:sz="6" w:space="0" w:color="00000A"/>
              <w:insideH w:val="single" w:sz="8" w:space="0" w:color="00000A"/>
              <w:insideV w:val="double" w:sz="6" w:space="0" w:color="00000A"/>
            </w:tcBorders>
            <w:shd w:color="auto" w:fill="C6D9F1" w:val="clear"/>
            <w:tcMar>
              <w:left w:w="47" w:type="dxa"/>
            </w:tcMar>
            <w:vAlign w:val="center"/>
          </w:tcPr>
          <w:p>
            <w:pPr>
              <w:pStyle w:val="Normal"/>
              <w:jc w:val="center"/>
              <w:rPr>
                <w:rFonts w:eastAsia="Times New Roman"/>
                <w:color w:val="000000"/>
                <w:szCs w:val="22"/>
              </w:rPr>
            </w:pPr>
            <w:r>
              <w:rPr>
                <w:rFonts w:eastAsia="Times New Roman"/>
                <w:color w:val="000000"/>
              </w:rPr>
              <w:t>X</w:t>
            </w:r>
          </w:p>
        </w:tc>
        <w:tc>
          <w:tcPr>
            <w:tcW w:w="993" w:type="dxa"/>
            <w:tcBorders>
              <w:bottom w:val="single" w:sz="8" w:space="0" w:color="00000A"/>
              <w:right w:val="single" w:sz="8" w:space="0" w:color="00000A"/>
              <w:insideH w:val="single" w:sz="8"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227</w:t>
            </w:r>
          </w:p>
        </w:tc>
        <w:tc>
          <w:tcPr>
            <w:tcW w:w="1275" w:type="dxa"/>
            <w:tcBorders>
              <w:bottom w:val="single" w:sz="8" w:space="0" w:color="00000A"/>
              <w:right w:val="double" w:sz="6" w:space="0" w:color="00000A"/>
              <w:insideH w:val="single" w:sz="8"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242</w:t>
            </w:r>
          </w:p>
        </w:tc>
        <w:tc>
          <w:tcPr>
            <w:tcW w:w="1087" w:type="dxa"/>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329</w:t>
            </w:r>
          </w:p>
        </w:tc>
        <w:tc>
          <w:tcPr>
            <w:tcW w:w="1182" w:type="dxa"/>
            <w:gridSpan w:val="2"/>
            <w:tcBorders>
              <w:bottom w:val="single" w:sz="8" w:space="0" w:color="00000A"/>
              <w:right w:val="double" w:sz="6" w:space="0" w:color="00000A"/>
              <w:insideH w:val="single" w:sz="8"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268</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272</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291</w:t>
            </w:r>
          </w:p>
        </w:tc>
        <w:tc>
          <w:tcPr>
            <w:tcW w:w="993" w:type="dxa"/>
            <w:gridSpan w:val="2"/>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294</w:t>
            </w:r>
          </w:p>
        </w:tc>
        <w:tc>
          <w:tcPr>
            <w:tcW w:w="1275" w:type="dxa"/>
            <w:tcBorders>
              <w:bottom w:val="single" w:sz="8" w:space="0" w:color="00000A"/>
              <w:right w:val="double" w:sz="6" w:space="0" w:color="00000A"/>
              <w:insideH w:val="single" w:sz="8"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273</w:t>
            </w:r>
          </w:p>
        </w:tc>
      </w:tr>
      <w:tr>
        <w:trPr>
          <w:trHeight w:val="315" w:hRule="atLeast"/>
        </w:trPr>
        <w:tc>
          <w:tcPr>
            <w:tcW w:w="850" w:type="dxa"/>
            <w:tcBorders>
              <w:left w:val="double" w:sz="6" w:space="0" w:color="00000A"/>
              <w:bottom w:val="single" w:sz="8" w:space="0" w:color="8064A2"/>
              <w:right w:val="double" w:sz="6" w:space="0" w:color="00000A"/>
              <w:insideH w:val="single" w:sz="8" w:space="0" w:color="8064A2"/>
              <w:insideV w:val="double" w:sz="6" w:space="0" w:color="00000A"/>
            </w:tcBorders>
            <w:shd w:fill="auto" w:val="clear"/>
            <w:tcMar>
              <w:left w:w="47" w:type="dxa"/>
            </w:tcMar>
            <w:vAlign w:val="center"/>
          </w:tcPr>
          <w:p>
            <w:pPr>
              <w:pStyle w:val="Normal"/>
              <w:jc w:val="center"/>
              <w:rPr>
                <w:rFonts w:eastAsia="Times New Roman"/>
                <w:color w:val="000000"/>
                <w:szCs w:val="22"/>
              </w:rPr>
            </w:pPr>
            <w:r>
              <w:rPr>
                <w:rFonts w:eastAsia="Times New Roman"/>
                <w:color w:val="000000"/>
              </w:rPr>
              <w:t>XI</w:t>
            </w:r>
          </w:p>
        </w:tc>
        <w:tc>
          <w:tcPr>
            <w:tcW w:w="993"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229</w:t>
            </w:r>
          </w:p>
        </w:tc>
        <w:tc>
          <w:tcPr>
            <w:tcW w:w="1275"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252</w:t>
            </w:r>
          </w:p>
        </w:tc>
        <w:tc>
          <w:tcPr>
            <w:tcW w:w="1087" w:type="dxa"/>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307</w:t>
            </w:r>
          </w:p>
        </w:tc>
        <w:tc>
          <w:tcPr>
            <w:tcW w:w="1182" w:type="dxa"/>
            <w:gridSpan w:val="2"/>
            <w:tcBorders>
              <w:bottom w:val="single" w:sz="8" w:space="0" w:color="8064A2"/>
              <w:right w:val="double" w:sz="6" w:space="0" w:color="00000A"/>
              <w:insideH w:val="single" w:sz="8" w:space="0" w:color="8064A2"/>
              <w:insideV w:val="double" w:sz="6"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369</w:t>
            </w:r>
          </w:p>
        </w:tc>
        <w:tc>
          <w:tcPr>
            <w:tcW w:w="941" w:type="dxa"/>
            <w:tcBorders>
              <w:bottom w:val="single" w:sz="8" w:space="0" w:color="8064A2"/>
              <w:right w:val="single" w:sz="8" w:space="0" w:color="00000A"/>
              <w:insideH w:val="single" w:sz="8" w:space="0" w:color="8064A2"/>
              <w:insideV w:val="single" w:sz="8" w:space="0" w:color="00000A"/>
            </w:tcBorders>
            <w:shd w:fill="auto" w:val="clear"/>
            <w:vAlign w:val="center"/>
          </w:tcPr>
          <w:p>
            <w:pPr>
              <w:pStyle w:val="Normal"/>
              <w:jc w:val="center"/>
              <w:rPr>
                <w:rFonts w:eastAsia="Times New Roman"/>
                <w:color w:val="000000"/>
                <w:szCs w:val="22"/>
              </w:rPr>
            </w:pPr>
            <w:r>
              <w:rPr>
                <w:rFonts w:eastAsia="Times New Roman"/>
                <w:color w:val="000000"/>
              </w:rPr>
              <w:t>223</w:t>
            </w:r>
          </w:p>
        </w:tc>
        <w:tc>
          <w:tcPr>
            <w:tcW w:w="1326" w:type="dxa"/>
            <w:tcBorders>
              <w:bottom w:val="single" w:sz="8" w:space="0" w:color="8064A2"/>
              <w:right w:val="double" w:sz="6" w:space="0" w:color="00000A"/>
              <w:insideH w:val="single" w:sz="8" w:space="0" w:color="8064A2"/>
              <w:insideV w:val="double" w:sz="6" w:space="0" w:color="00000A"/>
            </w:tcBorders>
            <w:shd w:fill="auto" w:val="clear"/>
            <w:vAlign w:val="center"/>
          </w:tcPr>
          <w:p>
            <w:pPr>
              <w:pStyle w:val="Normal"/>
              <w:jc w:val="center"/>
              <w:rPr>
                <w:rFonts w:eastAsia="Times New Roman"/>
                <w:color w:val="000000"/>
                <w:szCs w:val="22"/>
              </w:rPr>
            </w:pPr>
            <w:r>
              <w:rPr>
                <w:rFonts w:eastAsia="Times New Roman"/>
                <w:color w:val="000000"/>
              </w:rPr>
              <w:t>215</w:t>
            </w:r>
          </w:p>
        </w:tc>
        <w:tc>
          <w:tcPr>
            <w:tcW w:w="993" w:type="dxa"/>
            <w:gridSpan w:val="2"/>
            <w:tcBorders>
              <w:bottom w:val="single" w:sz="8" w:space="0" w:color="8064A2"/>
              <w:right w:val="single" w:sz="8" w:space="0" w:color="00000A"/>
              <w:insideH w:val="single" w:sz="8" w:space="0" w:color="8064A2"/>
              <w:insideV w:val="single" w:sz="8" w:space="0" w:color="00000A"/>
            </w:tcBorders>
            <w:shd w:color="auto" w:fill="FFFFFF" w:val="clear"/>
            <w:vAlign w:val="center"/>
          </w:tcPr>
          <w:p>
            <w:pPr>
              <w:pStyle w:val="Normal"/>
              <w:jc w:val="center"/>
              <w:rPr>
                <w:rFonts w:eastAsia="Times New Roman"/>
                <w:color w:val="000000"/>
                <w:szCs w:val="22"/>
              </w:rPr>
            </w:pPr>
            <w:r>
              <w:rPr>
                <w:rFonts w:eastAsia="Times New Roman"/>
                <w:color w:val="000000"/>
              </w:rPr>
              <w:t>197</w:t>
            </w:r>
          </w:p>
        </w:tc>
        <w:tc>
          <w:tcPr>
            <w:tcW w:w="1275" w:type="dxa"/>
            <w:tcBorders>
              <w:bottom w:val="single" w:sz="8" w:space="0" w:color="8064A2"/>
              <w:right w:val="double" w:sz="6" w:space="0" w:color="00000A"/>
              <w:insideH w:val="single" w:sz="8" w:space="0" w:color="8064A2"/>
              <w:insideV w:val="double" w:sz="6" w:space="0" w:color="00000A"/>
            </w:tcBorders>
            <w:shd w:color="auto" w:fill="FFFFFF" w:val="clear"/>
            <w:vAlign w:val="bottom"/>
          </w:tcPr>
          <w:p>
            <w:pPr>
              <w:pStyle w:val="Normal"/>
              <w:jc w:val="center"/>
              <w:rPr>
                <w:rFonts w:eastAsia="Times New Roman"/>
                <w:color w:val="000000"/>
                <w:szCs w:val="22"/>
              </w:rPr>
            </w:pPr>
            <w:r>
              <w:rPr>
                <w:rFonts w:eastAsia="Times New Roman"/>
                <w:color w:val="000000"/>
              </w:rPr>
              <w:t>206</w:t>
            </w:r>
          </w:p>
        </w:tc>
      </w:tr>
      <w:tr>
        <w:trPr>
          <w:trHeight w:val="315" w:hRule="atLeast"/>
        </w:trPr>
        <w:tc>
          <w:tcPr>
            <w:tcW w:w="850" w:type="dxa"/>
            <w:tcBorders>
              <w:left w:val="double" w:sz="6" w:space="0" w:color="00000A"/>
              <w:bottom w:val="double" w:sz="6" w:space="0" w:color="00000A"/>
              <w:right w:val="double" w:sz="6" w:space="0" w:color="00000A"/>
              <w:insideH w:val="double" w:sz="6" w:space="0" w:color="00000A"/>
              <w:insideV w:val="double" w:sz="6" w:space="0" w:color="00000A"/>
            </w:tcBorders>
            <w:shd w:color="auto" w:fill="C6D9F1" w:val="clear"/>
            <w:tcMar>
              <w:left w:w="47" w:type="dxa"/>
            </w:tcMar>
            <w:vAlign w:val="center"/>
          </w:tcPr>
          <w:p>
            <w:pPr>
              <w:pStyle w:val="Normal"/>
              <w:jc w:val="center"/>
              <w:rPr>
                <w:rFonts w:eastAsia="Times New Roman"/>
                <w:color w:val="000000"/>
                <w:szCs w:val="22"/>
              </w:rPr>
            </w:pPr>
            <w:r>
              <w:rPr>
                <w:rFonts w:eastAsia="Times New Roman"/>
                <w:color w:val="000000"/>
              </w:rPr>
              <w:t>XII</w:t>
            </w:r>
          </w:p>
        </w:tc>
        <w:tc>
          <w:tcPr>
            <w:tcW w:w="993" w:type="dxa"/>
            <w:tcBorders>
              <w:bottom w:val="double" w:sz="6" w:space="0" w:color="00000A"/>
              <w:right w:val="single" w:sz="8" w:space="0" w:color="00000A"/>
              <w:insideH w:val="double" w:sz="6"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243</w:t>
            </w:r>
          </w:p>
        </w:tc>
        <w:tc>
          <w:tcPr>
            <w:tcW w:w="1275" w:type="dxa"/>
            <w:tcBorders>
              <w:bottom w:val="double" w:sz="6" w:space="0" w:color="00000A"/>
              <w:right w:val="double" w:sz="6" w:space="0" w:color="00000A"/>
              <w:insideH w:val="double" w:sz="6"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252</w:t>
            </w:r>
          </w:p>
        </w:tc>
        <w:tc>
          <w:tcPr>
            <w:tcW w:w="1087" w:type="dxa"/>
            <w:tcBorders>
              <w:bottom w:val="double" w:sz="6" w:space="0" w:color="00000A"/>
              <w:right w:val="single" w:sz="8" w:space="0" w:color="00000A"/>
              <w:insideH w:val="double" w:sz="6"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386</w:t>
            </w:r>
          </w:p>
        </w:tc>
        <w:tc>
          <w:tcPr>
            <w:tcW w:w="1182" w:type="dxa"/>
            <w:gridSpan w:val="2"/>
            <w:tcBorders>
              <w:bottom w:val="double" w:sz="6" w:space="0" w:color="00000A"/>
              <w:right w:val="double" w:sz="6" w:space="0" w:color="00000A"/>
              <w:insideH w:val="double" w:sz="6"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389</w:t>
            </w:r>
          </w:p>
        </w:tc>
        <w:tc>
          <w:tcPr>
            <w:tcW w:w="941" w:type="dxa"/>
            <w:tcBorders>
              <w:bottom w:val="double" w:sz="6" w:space="0" w:color="00000A"/>
              <w:right w:val="single" w:sz="8" w:space="0" w:color="00000A"/>
              <w:insideH w:val="double" w:sz="6" w:space="0" w:color="00000A"/>
              <w:insideV w:val="single" w:sz="8"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190</w:t>
            </w:r>
          </w:p>
        </w:tc>
        <w:tc>
          <w:tcPr>
            <w:tcW w:w="1326" w:type="dxa"/>
            <w:tcBorders>
              <w:bottom w:val="double" w:sz="6" w:space="0" w:color="00000A"/>
              <w:right w:val="double" w:sz="6" w:space="0" w:color="00000A"/>
              <w:insideH w:val="double" w:sz="6" w:space="0" w:color="00000A"/>
              <w:insideV w:val="double" w:sz="6" w:space="0" w:color="00000A"/>
            </w:tcBorders>
            <w:shd w:color="auto" w:fill="C6D9F1" w:val="clear"/>
            <w:vAlign w:val="center"/>
          </w:tcPr>
          <w:p>
            <w:pPr>
              <w:pStyle w:val="Normal"/>
              <w:jc w:val="center"/>
              <w:rPr>
                <w:rFonts w:eastAsia="Times New Roman"/>
                <w:color w:val="000000"/>
                <w:szCs w:val="22"/>
              </w:rPr>
            </w:pPr>
            <w:r>
              <w:rPr>
                <w:rFonts w:eastAsia="Times New Roman"/>
                <w:color w:val="000000"/>
              </w:rPr>
              <w:t>231</w:t>
            </w:r>
          </w:p>
        </w:tc>
        <w:tc>
          <w:tcPr>
            <w:tcW w:w="993" w:type="dxa"/>
            <w:gridSpan w:val="2"/>
            <w:tcBorders>
              <w:bottom w:val="double" w:sz="6" w:space="0" w:color="00000A"/>
              <w:right w:val="single" w:sz="8" w:space="0" w:color="00000A"/>
              <w:insideH w:val="double" w:sz="6"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197</w:t>
            </w:r>
          </w:p>
        </w:tc>
        <w:tc>
          <w:tcPr>
            <w:tcW w:w="1275" w:type="dxa"/>
            <w:tcBorders>
              <w:bottom w:val="double" w:sz="6" w:space="0" w:color="00000A"/>
              <w:right w:val="double" w:sz="6" w:space="0" w:color="00000A"/>
              <w:insideH w:val="double" w:sz="6"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206</w:t>
            </w:r>
          </w:p>
        </w:tc>
      </w:tr>
      <w:tr>
        <w:trPr>
          <w:trHeight w:val="330" w:hRule="atLeast"/>
        </w:trPr>
        <w:tc>
          <w:tcPr>
            <w:tcW w:w="850" w:type="dxa"/>
            <w:vMerge w:val="restart"/>
            <w:tcBorders>
              <w:left w:val="double" w:sz="6" w:space="0" w:color="00000A"/>
              <w:bottom w:val="double" w:sz="6" w:space="0" w:color="000001"/>
              <w:right w:val="double" w:sz="6" w:space="0" w:color="00000A"/>
              <w:insideH w:val="double" w:sz="6" w:space="0" w:color="000001"/>
              <w:insideV w:val="double" w:sz="6" w:space="0" w:color="00000A"/>
            </w:tcBorders>
            <w:shd w:color="auto" w:fill="8DB3E2" w:val="clear"/>
            <w:tcMar>
              <w:left w:w="47" w:type="dxa"/>
            </w:tcMar>
            <w:vAlign w:val="center"/>
          </w:tcPr>
          <w:p>
            <w:pPr>
              <w:pStyle w:val="Normal"/>
              <w:jc w:val="center"/>
              <w:rPr>
                <w:rFonts w:eastAsia="Times New Roman"/>
                <w:color w:val="000000"/>
                <w:szCs w:val="22"/>
              </w:rPr>
            </w:pPr>
            <w:r>
              <w:rPr>
                <w:rFonts w:eastAsia="Times New Roman"/>
                <w:color w:val="000000"/>
              </w:rPr>
              <w:t>razem</w:t>
            </w:r>
          </w:p>
        </w:tc>
        <w:tc>
          <w:tcPr>
            <w:tcW w:w="993" w:type="dxa"/>
            <w:tcBorders>
              <w:bottom w:val="single" w:sz="8" w:space="0" w:color="00000A"/>
              <w:right w:val="single" w:sz="8" w:space="0" w:color="00000A"/>
              <w:insideH w:val="single" w:sz="8" w:space="0" w:color="00000A"/>
              <w:insideV w:val="single" w:sz="8" w:space="0" w:color="00000A"/>
            </w:tcBorders>
            <w:shd w:color="auto" w:fill="8DB3E2" w:val="clear"/>
            <w:vAlign w:val="center"/>
          </w:tcPr>
          <w:p>
            <w:pPr>
              <w:pStyle w:val="Normal"/>
              <w:jc w:val="center"/>
              <w:rPr>
                <w:rFonts w:eastAsia="Times New Roman"/>
                <w:color w:val="000000"/>
                <w:szCs w:val="22"/>
              </w:rPr>
            </w:pPr>
            <w:r>
              <w:rPr>
                <w:rFonts w:eastAsia="Times New Roman"/>
                <w:color w:val="000000"/>
              </w:rPr>
              <w:t>2.912</w:t>
            </w:r>
          </w:p>
        </w:tc>
        <w:tc>
          <w:tcPr>
            <w:tcW w:w="1275" w:type="dxa"/>
            <w:tcBorders>
              <w:bottom w:val="single" w:sz="8" w:space="0" w:color="00000A"/>
              <w:right w:val="double" w:sz="6" w:space="0" w:color="00000A"/>
              <w:insideH w:val="single" w:sz="8" w:space="0" w:color="00000A"/>
              <w:insideV w:val="double" w:sz="6" w:space="0" w:color="00000A"/>
            </w:tcBorders>
            <w:shd w:color="auto" w:fill="8DB3E2" w:val="clear"/>
            <w:vAlign w:val="center"/>
          </w:tcPr>
          <w:p>
            <w:pPr>
              <w:pStyle w:val="Normal"/>
              <w:jc w:val="center"/>
              <w:rPr>
                <w:rFonts w:eastAsia="Times New Roman"/>
                <w:color w:val="000000"/>
                <w:szCs w:val="22"/>
              </w:rPr>
            </w:pPr>
            <w:r>
              <w:rPr>
                <w:rFonts w:eastAsia="Times New Roman"/>
                <w:color w:val="000000"/>
              </w:rPr>
              <w:t>2.778</w:t>
            </w:r>
          </w:p>
        </w:tc>
        <w:tc>
          <w:tcPr>
            <w:tcW w:w="1087" w:type="dxa"/>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3.222</w:t>
            </w:r>
          </w:p>
        </w:tc>
        <w:tc>
          <w:tcPr>
            <w:tcW w:w="1182" w:type="dxa"/>
            <w:gridSpan w:val="2"/>
            <w:tcBorders>
              <w:bottom w:val="single" w:sz="8" w:space="0" w:color="00000A"/>
              <w:right w:val="double" w:sz="6" w:space="0" w:color="00000A"/>
              <w:insideH w:val="single" w:sz="8" w:space="0" w:color="00000A"/>
              <w:insideV w:val="double" w:sz="6"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3.051</w:t>
            </w:r>
          </w:p>
        </w:tc>
        <w:tc>
          <w:tcPr>
            <w:tcW w:w="941" w:type="dxa"/>
            <w:tcBorders>
              <w:bottom w:val="single" w:sz="8" w:space="0" w:color="00000A"/>
              <w:right w:val="single" w:sz="8" w:space="0" w:color="00000A"/>
              <w:insideH w:val="single" w:sz="8" w:space="0" w:color="00000A"/>
              <w:insideV w:val="single" w:sz="8" w:space="0" w:color="00000A"/>
            </w:tcBorders>
            <w:shd w:color="auto" w:fill="8DB3E2" w:val="clear"/>
            <w:vAlign w:val="center"/>
          </w:tcPr>
          <w:p>
            <w:pPr>
              <w:pStyle w:val="Normal"/>
              <w:jc w:val="center"/>
              <w:rPr>
                <w:rFonts w:eastAsia="Times New Roman"/>
                <w:color w:val="000000"/>
                <w:szCs w:val="22"/>
              </w:rPr>
            </w:pPr>
            <w:r>
              <w:rPr>
                <w:rFonts w:eastAsia="Times New Roman"/>
                <w:color w:val="000000"/>
              </w:rPr>
              <w:t>3.204</w:t>
            </w:r>
          </w:p>
        </w:tc>
        <w:tc>
          <w:tcPr>
            <w:tcW w:w="1326" w:type="dxa"/>
            <w:tcBorders>
              <w:bottom w:val="single" w:sz="8" w:space="0" w:color="00000A"/>
              <w:right w:val="double" w:sz="6" w:space="0" w:color="00000A"/>
              <w:insideH w:val="single" w:sz="8" w:space="0" w:color="00000A"/>
              <w:insideV w:val="double" w:sz="6" w:space="0" w:color="00000A"/>
            </w:tcBorders>
            <w:shd w:color="auto" w:fill="8DB3E2" w:val="clear"/>
            <w:vAlign w:val="center"/>
          </w:tcPr>
          <w:p>
            <w:pPr>
              <w:pStyle w:val="Normal"/>
              <w:jc w:val="center"/>
              <w:rPr>
                <w:rFonts w:eastAsia="Times New Roman"/>
                <w:color w:val="000000"/>
                <w:szCs w:val="22"/>
              </w:rPr>
            </w:pPr>
            <w:r>
              <w:rPr>
                <w:rFonts w:eastAsia="Times New Roman"/>
                <w:color w:val="000000"/>
              </w:rPr>
              <w:t>3.385</w:t>
            </w:r>
          </w:p>
        </w:tc>
        <w:tc>
          <w:tcPr>
            <w:tcW w:w="993" w:type="dxa"/>
            <w:gridSpan w:val="2"/>
            <w:tcBorders>
              <w:bottom w:val="single" w:sz="8" w:space="0" w:color="00000A"/>
              <w:right w:val="single" w:sz="8" w:space="0" w:color="00000A"/>
              <w:insideH w:val="single" w:sz="8" w:space="0" w:color="00000A"/>
              <w:insideV w:val="single" w:sz="8" w:space="0" w:color="00000A"/>
            </w:tcBorders>
            <w:shd w:color="auto" w:fill="FFFF66" w:val="clear"/>
            <w:vAlign w:val="center"/>
          </w:tcPr>
          <w:p>
            <w:pPr>
              <w:pStyle w:val="Normal"/>
              <w:jc w:val="center"/>
              <w:rPr>
                <w:rFonts w:eastAsia="Times New Roman"/>
                <w:color w:val="000000"/>
                <w:szCs w:val="22"/>
              </w:rPr>
            </w:pPr>
            <w:r>
              <w:rPr>
                <w:rFonts w:eastAsia="Times New Roman"/>
                <w:color w:val="000000"/>
              </w:rPr>
              <w:t>2.682</w:t>
            </w:r>
          </w:p>
        </w:tc>
        <w:tc>
          <w:tcPr>
            <w:tcW w:w="1275" w:type="dxa"/>
            <w:tcBorders>
              <w:bottom w:val="single" w:sz="8" w:space="0" w:color="00000A"/>
              <w:right w:val="double" w:sz="6" w:space="0" w:color="00000A"/>
              <w:insideH w:val="single" w:sz="8" w:space="0" w:color="00000A"/>
              <w:insideV w:val="double" w:sz="6" w:space="0" w:color="00000A"/>
            </w:tcBorders>
            <w:shd w:color="auto" w:fill="FFFF66" w:val="clear"/>
            <w:vAlign w:val="bottom"/>
          </w:tcPr>
          <w:p>
            <w:pPr>
              <w:pStyle w:val="Normal"/>
              <w:jc w:val="center"/>
              <w:rPr>
                <w:rFonts w:eastAsia="Times New Roman"/>
                <w:color w:val="000000"/>
                <w:szCs w:val="22"/>
              </w:rPr>
            </w:pPr>
            <w:r>
              <w:rPr>
                <w:rFonts w:eastAsia="Times New Roman"/>
                <w:color w:val="000000"/>
              </w:rPr>
              <w:t>2.709</w:t>
            </w:r>
          </w:p>
        </w:tc>
      </w:tr>
      <w:tr>
        <w:trPr>
          <w:trHeight w:val="315" w:hRule="atLeast"/>
        </w:trPr>
        <w:tc>
          <w:tcPr>
            <w:tcW w:w="850" w:type="dxa"/>
            <w:vMerge w:val="continue"/>
            <w:tcBorders>
              <w:left w:val="double" w:sz="6" w:space="0" w:color="00000A"/>
              <w:bottom w:val="double" w:sz="6" w:space="0" w:color="000001"/>
              <w:right w:val="double" w:sz="6" w:space="0" w:color="00000A"/>
              <w:insideH w:val="double" w:sz="6" w:space="0" w:color="000001"/>
              <w:insideV w:val="double" w:sz="6" w:space="0" w:color="00000A"/>
            </w:tcBorders>
            <w:shd w:fill="auto" w:val="clear"/>
            <w:tcMar>
              <w:left w:w="47" w:type="dxa"/>
            </w:tcMar>
            <w:vAlign w:val="center"/>
          </w:tcPr>
          <w:p>
            <w:pPr>
              <w:pStyle w:val="Normal"/>
              <w:rPr>
                <w:rFonts w:eastAsia="Times New Roman"/>
                <w:color w:val="000000"/>
                <w:szCs w:val="22"/>
              </w:rPr>
            </w:pPr>
            <w:r>
              <w:rPr>
                <w:rFonts w:eastAsia="Times New Roman"/>
                <w:color w:val="000000"/>
                <w:szCs w:val="22"/>
              </w:rPr>
            </w:r>
          </w:p>
        </w:tc>
        <w:tc>
          <w:tcPr>
            <w:tcW w:w="2268" w:type="dxa"/>
            <w:gridSpan w:val="2"/>
            <w:tcBorders>
              <w:top w:val="single" w:sz="8" w:space="0" w:color="00000A"/>
              <w:bottom w:val="double" w:sz="6" w:space="0" w:color="00000A"/>
              <w:right w:val="double" w:sz="6" w:space="0" w:color="000001"/>
              <w:insideH w:val="double" w:sz="6" w:space="0" w:color="00000A"/>
              <w:insideV w:val="double" w:sz="6" w:space="0" w:color="000001"/>
            </w:tcBorders>
            <w:shd w:color="auto" w:fill="8DB3E2" w:val="clear"/>
            <w:vAlign w:val="center"/>
          </w:tcPr>
          <w:p>
            <w:pPr>
              <w:pStyle w:val="Normal"/>
              <w:jc w:val="center"/>
              <w:rPr>
                <w:rFonts w:eastAsia="Times New Roman"/>
                <w:color w:val="000000"/>
                <w:szCs w:val="22"/>
              </w:rPr>
            </w:pPr>
            <w:r>
              <w:rPr>
                <w:rFonts w:eastAsia="Times New Roman"/>
                <w:color w:val="000000"/>
              </w:rPr>
              <w:t>5.690</w:t>
            </w:r>
          </w:p>
        </w:tc>
        <w:tc>
          <w:tcPr>
            <w:tcW w:w="2269" w:type="dxa"/>
            <w:gridSpan w:val="3"/>
            <w:tcBorders>
              <w:top w:val="single" w:sz="8" w:space="0" w:color="00000A"/>
              <w:bottom w:val="double" w:sz="6" w:space="0" w:color="00000A"/>
              <w:right w:val="double" w:sz="6" w:space="0" w:color="000001"/>
              <w:insideH w:val="double" w:sz="6" w:space="0" w:color="00000A"/>
              <w:insideV w:val="double" w:sz="6" w:space="0" w:color="000001"/>
            </w:tcBorders>
            <w:shd w:color="auto" w:fill="FFFF66" w:val="clear"/>
            <w:vAlign w:val="center"/>
          </w:tcPr>
          <w:p>
            <w:pPr>
              <w:pStyle w:val="Normal"/>
              <w:jc w:val="center"/>
              <w:rPr>
                <w:rFonts w:eastAsia="Times New Roman"/>
                <w:color w:val="000000"/>
                <w:szCs w:val="22"/>
              </w:rPr>
            </w:pPr>
            <w:r>
              <w:rPr>
                <w:rFonts w:eastAsia="Times New Roman"/>
                <w:color w:val="000000"/>
              </w:rPr>
              <w:t>6.273</w:t>
            </w:r>
          </w:p>
        </w:tc>
        <w:tc>
          <w:tcPr>
            <w:tcW w:w="2268" w:type="dxa"/>
            <w:gridSpan w:val="3"/>
            <w:tcBorders>
              <w:top w:val="single" w:sz="8" w:space="0" w:color="00000A"/>
              <w:bottom w:val="double" w:sz="6" w:space="0" w:color="00000A"/>
              <w:right w:val="double" w:sz="6" w:space="0" w:color="000001"/>
              <w:insideH w:val="double" w:sz="6" w:space="0" w:color="00000A"/>
              <w:insideV w:val="double" w:sz="6" w:space="0" w:color="000001"/>
            </w:tcBorders>
            <w:shd w:color="auto" w:fill="8DB3E2" w:val="clear"/>
            <w:vAlign w:val="center"/>
          </w:tcPr>
          <w:p>
            <w:pPr>
              <w:pStyle w:val="Normal"/>
              <w:jc w:val="center"/>
              <w:rPr>
                <w:rFonts w:eastAsia="Times New Roman"/>
                <w:color w:val="000000"/>
                <w:szCs w:val="22"/>
              </w:rPr>
            </w:pPr>
            <w:r>
              <w:rPr>
                <w:rFonts w:eastAsia="Times New Roman"/>
                <w:color w:val="000000"/>
              </w:rPr>
              <w:t>6.589</w:t>
            </w:r>
          </w:p>
        </w:tc>
        <w:tc>
          <w:tcPr>
            <w:tcW w:w="2267" w:type="dxa"/>
            <w:gridSpan w:val="2"/>
            <w:tcBorders>
              <w:top w:val="single" w:sz="8" w:space="0" w:color="00000A"/>
              <w:bottom w:val="double" w:sz="6" w:space="0" w:color="00000A"/>
              <w:right w:val="double" w:sz="6" w:space="0" w:color="000001"/>
              <w:insideH w:val="double" w:sz="6" w:space="0" w:color="00000A"/>
              <w:insideV w:val="double" w:sz="6" w:space="0" w:color="000001"/>
            </w:tcBorders>
            <w:shd w:color="auto" w:fill="FFFF66" w:val="clear"/>
            <w:vAlign w:val="center"/>
          </w:tcPr>
          <w:p>
            <w:pPr>
              <w:pStyle w:val="Normal"/>
              <w:jc w:val="center"/>
              <w:rPr>
                <w:rFonts w:eastAsia="Times New Roman"/>
                <w:color w:val="000000"/>
                <w:szCs w:val="22"/>
              </w:rPr>
            </w:pPr>
            <w:r>
              <w:rPr>
                <w:rFonts w:eastAsia="Times New Roman"/>
                <w:color w:val="000000"/>
              </w:rPr>
              <w:t>5.391</w:t>
            </w:r>
          </w:p>
        </w:tc>
      </w:tr>
    </w:tbl>
    <w:p>
      <w:pPr>
        <w:pStyle w:val="Tretekstu"/>
        <w:spacing w:lineRule="auto" w:line="276" w:before="0" w:after="0"/>
        <w:ind w:firstLine="360"/>
        <w:jc w:val="both"/>
        <w:rPr>
          <w:rFonts w:eastAsia="Times New Roman"/>
          <w:szCs w:val="24"/>
        </w:rPr>
      </w:pPr>
      <w:r>
        <w:rPr>
          <w:rFonts w:eastAsia="Times New Roman"/>
          <w:szCs w:val="24"/>
        </w:rPr>
      </w:r>
    </w:p>
    <w:p>
      <w:pPr>
        <w:pStyle w:val="Tretekstu"/>
        <w:spacing w:lineRule="auto" w:line="276" w:before="0" w:after="0"/>
        <w:ind w:firstLine="360"/>
        <w:jc w:val="both"/>
        <w:rPr>
          <w:szCs w:val="24"/>
        </w:rPr>
      </w:pPr>
      <w:r>
        <w:rPr>
          <w:szCs w:val="24"/>
        </w:rPr>
      </w:r>
    </w:p>
    <w:p>
      <w:pPr>
        <w:pStyle w:val="Tretekstu"/>
        <w:spacing w:lineRule="auto" w:line="276" w:before="0" w:after="0"/>
        <w:ind w:firstLine="360"/>
        <w:jc w:val="both"/>
        <w:rPr>
          <w:szCs w:val="24"/>
        </w:rPr>
      </w:pPr>
      <w:r>
        <w:rPr>
          <w:szCs w:val="24"/>
        </w:rPr>
      </w:r>
    </w:p>
    <w:p>
      <w:pPr>
        <w:pStyle w:val="Tretekstu"/>
        <w:spacing w:lineRule="auto" w:line="276" w:before="0" w:after="0"/>
        <w:jc w:val="both"/>
        <w:rPr>
          <w:szCs w:val="24"/>
        </w:rPr>
      </w:pPr>
      <w:r>
        <w:rPr>
          <w:szCs w:val="24"/>
        </w:rPr>
        <w:t xml:space="preserve">W roku 2021 odnotowano spadek liczby nowo rejestrujących się bezrobotnych </w:t>
        <w:br/>
        <w:t xml:space="preserve">w stosunku do roku 2020 o 899 osoby. Największy napływ bezrobotnych odnotowano </w:t>
        <w:br/>
        <w:t>w miesiącu wrześniu (586 osób) i marcu (547 osób). W roku 2021 napływ kobiet stanowił 51,2% ogółu nowo rejestrujących się osób bezrobotnych (48,6% w 2020 r.)</w:t>
      </w:r>
    </w:p>
    <w:p>
      <w:pPr>
        <w:pStyle w:val="Normal"/>
        <w:rPr>
          <w:szCs w:val="24"/>
        </w:rPr>
      </w:pPr>
      <w:r>
        <w:rPr>
          <w:szCs w:val="24"/>
        </w:rPr>
      </w:r>
      <w:r>
        <w:br w:type="page"/>
      </w:r>
    </w:p>
    <w:p>
      <w:pPr>
        <w:pStyle w:val="Normal"/>
        <w:tabs>
          <w:tab w:val="left" w:pos="426" w:leader="none"/>
        </w:tabs>
        <w:jc w:val="both"/>
        <w:rPr>
          <w:szCs w:val="24"/>
        </w:rPr>
      </w:pPr>
      <w:r>
        <w:rPr>
          <w:szCs w:val="24"/>
        </w:rPr>
        <w:t>Liczba bezrobotnych wyrejestrowanych w ciągu roku 2021 wyniosła 6.273 osób i była większa o 882 osób w stosunku do roku 2020. Wśród wyłączonych z ewidencji 51,4% stanowiły kobiety (48,6% w 2020 r.).</w:t>
      </w:r>
    </w:p>
    <w:p>
      <w:pPr>
        <w:pStyle w:val="Normal"/>
        <w:tabs>
          <w:tab w:val="left" w:pos="426" w:leader="none"/>
        </w:tabs>
        <w:jc w:val="both"/>
        <w:rPr>
          <w:szCs w:val="24"/>
        </w:rPr>
      </w:pPr>
      <w:r>
        <w:rPr>
          <w:szCs w:val="24"/>
        </w:rPr>
        <w:t xml:space="preserve">Liczba wyłączonych ze względu na podjęcie pracy na przestrzeni 2020 r. wynosiła 3.664 osób co stanowiło 58,4% odpływu. (63,9% w 2020 r.). </w:t>
      </w:r>
    </w:p>
    <w:p>
      <w:pPr>
        <w:pStyle w:val="Normal"/>
        <w:tabs>
          <w:tab w:val="left" w:pos="426" w:leader="none"/>
        </w:tabs>
        <w:jc w:val="both"/>
        <w:rPr>
          <w:sz w:val="32"/>
          <w:szCs w:val="24"/>
        </w:rPr>
      </w:pPr>
      <w:r>
        <w:rPr>
          <w:sz w:val="32"/>
          <w:szCs w:val="24"/>
        </w:rPr>
      </w:r>
    </w:p>
    <w:p>
      <w:pPr>
        <w:pStyle w:val="Normal"/>
        <w:tabs>
          <w:tab w:val="left" w:pos="426" w:leader="none"/>
        </w:tabs>
        <w:jc w:val="both"/>
        <w:rPr>
          <w:sz w:val="32"/>
          <w:szCs w:val="24"/>
        </w:rPr>
      </w:pPr>
      <w:r>
        <w:rPr>
          <w:sz w:val="32"/>
          <w:szCs w:val="24"/>
        </w:rPr>
      </w:r>
    </w:p>
    <w:p>
      <w:pPr>
        <w:pStyle w:val="BodyText3"/>
        <w:spacing w:lineRule="auto" w:line="276" w:before="0" w:after="0"/>
        <w:jc w:val="both"/>
        <w:rPr>
          <w:sz w:val="20"/>
        </w:rPr>
      </w:pPr>
      <w:r>
        <w:rPr>
          <w:sz w:val="20"/>
        </w:rPr>
        <w:t xml:space="preserve">Wykres 3. </w:t>
      </w:r>
      <w:r>
        <w:rPr>
          <w:bCs/>
          <w:sz w:val="20"/>
        </w:rPr>
        <w:t>Liczba osób wyłączonych z tytułu podjęcia pracy.</w:t>
      </w:r>
    </w:p>
    <w:p>
      <w:pPr>
        <w:sectPr>
          <w:headerReference w:type="default" r:id="rId5"/>
          <w:headerReference w:type="first" r:id="rId6"/>
          <w:footerReference w:type="default" r:id="rId7"/>
          <w:type w:val="nextPage"/>
          <w:pgSz w:w="11906" w:h="16838"/>
          <w:pgMar w:left="1418" w:right="1418" w:header="709" w:top="1418" w:footer="709" w:bottom="1276" w:gutter="0"/>
          <w:pgNumType w:start="1" w:fmt="decimal"/>
          <w:formProt w:val="false"/>
          <w:titlePg/>
          <w:textDirection w:val="lrTb"/>
          <w:docGrid w:type="default" w:linePitch="326" w:charSpace="0"/>
        </w:sectPr>
        <w:pStyle w:val="Normal"/>
        <w:tabs>
          <w:tab w:val="left" w:pos="426" w:leader="none"/>
        </w:tabs>
        <w:jc w:val="center"/>
        <w:rPr>
          <w:color w:val="FF0000"/>
          <w:sz w:val="28"/>
          <w:szCs w:val="28"/>
        </w:rPr>
      </w:pPr>
      <w:r>
        <w:rPr/>
        <w:drawing>
          <wp:inline distT="0" distB="0" distL="0" distR="0">
            <wp:extent cx="6133465" cy="5365750"/>
            <wp:effectExtent l="0" t="0" r="0" b="0"/>
            <wp:docPr id="3"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Tretekstu"/>
        <w:spacing w:lineRule="auto" w:line="276" w:before="0" w:after="0"/>
        <w:jc w:val="both"/>
        <w:rPr>
          <w:b/>
          <w:b/>
          <w:szCs w:val="24"/>
        </w:rPr>
      </w:pPr>
      <w:r>
        <w:rPr>
          <w:b/>
          <w:szCs w:val="24"/>
        </w:rPr>
        <w:t>3. Bezrobotni według poziomu wykształcenia.</w:t>
      </w:r>
    </w:p>
    <w:p>
      <w:pPr>
        <w:pStyle w:val="Tretekstu"/>
        <w:spacing w:lineRule="auto" w:line="276" w:before="0" w:after="0"/>
        <w:ind w:left="502" w:hanging="0"/>
        <w:jc w:val="both"/>
        <w:rPr>
          <w:b/>
          <w:b/>
          <w:szCs w:val="24"/>
        </w:rPr>
      </w:pPr>
      <w:r>
        <w:rPr>
          <w:b/>
          <w:szCs w:val="24"/>
        </w:rPr>
      </w:r>
    </w:p>
    <w:p>
      <w:pPr>
        <w:pStyle w:val="BodyText3"/>
        <w:spacing w:lineRule="auto" w:line="276" w:before="0" w:after="0"/>
        <w:jc w:val="both"/>
        <w:rPr>
          <w:sz w:val="24"/>
          <w:szCs w:val="24"/>
        </w:rPr>
      </w:pPr>
      <w:r>
        <w:rPr>
          <w:sz w:val="24"/>
          <w:szCs w:val="24"/>
        </w:rPr>
        <w:t xml:space="preserve">Struktura bezrobotnych w/g poziomu wykształcenia pozwala nam na stwierdzenie, </w:t>
        <w:br/>
        <w:t xml:space="preserve">że osoby legitymujące się niskim </w:t>
      </w:r>
      <w:r>
        <w:rPr>
          <w:color w:val="000000" w:themeColor="text1"/>
          <w:sz w:val="24"/>
          <w:szCs w:val="24"/>
        </w:rPr>
        <w:t xml:space="preserve">poziomem wykształcenia stanowią najliczniejszą grupę zarejestrowanych bezrobotnych. Wykształcenie zasadnicze zawodowe, gimnazjalne i poniżej (podstawowe i niepełne podstawowe) posiada 51,6 % bezrobotnych, (50,6% w 2020 r.). </w:t>
        <w:br/>
        <w:t xml:space="preserve">Osoby posiadające wykształcenie policealne i średnie zawodowe stanowią 22,2% bezrobotnych </w:t>
        <w:br/>
        <w:t>(22,5% w 2020 r.), wykształcenie wyższe 15,1% (16% w 2020 r).</w:t>
      </w:r>
    </w:p>
    <w:p>
      <w:pPr>
        <w:pStyle w:val="BodyText3"/>
        <w:spacing w:lineRule="auto" w:line="276" w:before="0" w:after="0"/>
        <w:jc w:val="both"/>
        <w:rPr>
          <w:sz w:val="24"/>
          <w:szCs w:val="24"/>
        </w:rPr>
      </w:pPr>
      <w:r>
        <w:rPr>
          <w:sz w:val="24"/>
          <w:szCs w:val="24"/>
        </w:rPr>
        <w:t xml:space="preserve">Najmniej liczną grupą są bezrobotni z wykształceniem średnim ogólnokształcącym, stanowią oni 11% ogółu zarejestrowanych bezrobotnych (11% w 2020 r.). </w:t>
      </w:r>
    </w:p>
    <w:p>
      <w:pPr>
        <w:pStyle w:val="BodyText3"/>
        <w:spacing w:lineRule="auto" w:line="276" w:before="0" w:after="0"/>
        <w:jc w:val="both"/>
        <w:rPr>
          <w:sz w:val="24"/>
          <w:szCs w:val="24"/>
        </w:rPr>
      </w:pPr>
      <w:r>
        <w:rPr>
          <w:sz w:val="24"/>
          <w:szCs w:val="24"/>
        </w:rPr>
      </w:r>
    </w:p>
    <w:p>
      <w:pPr>
        <w:pStyle w:val="BodyText3"/>
        <w:spacing w:lineRule="auto" w:line="276" w:before="0" w:after="0"/>
        <w:jc w:val="both"/>
        <w:rPr>
          <w:bCs/>
          <w:sz w:val="20"/>
        </w:rPr>
      </w:pPr>
      <w:r>
        <w:rPr>
          <w:bCs/>
          <w:sz w:val="20"/>
        </w:rPr>
        <w:t>Wykres 4.</w:t>
      </w:r>
      <w:r>
        <w:rPr>
          <w:bCs/>
          <w:color w:val="000000"/>
          <w:kern w:val="2"/>
          <w:sz w:val="44"/>
          <w:szCs w:val="36"/>
        </w:rPr>
        <w:t xml:space="preserve"> </w:t>
      </w:r>
      <w:r>
        <w:rPr>
          <w:bCs/>
          <w:sz w:val="20"/>
        </w:rPr>
        <w:t>Bezrobotni ogółem wg poziomu wykształcenia</w:t>
      </w:r>
    </w:p>
    <w:p>
      <w:pPr>
        <w:pStyle w:val="BodyText3"/>
        <w:spacing w:lineRule="auto" w:line="276"/>
        <w:rPr>
          <w:color w:val="FF0000"/>
        </w:rPr>
      </w:pPr>
      <w:r>
        <w:rPr/>
        <w:drawing>
          <wp:inline distT="0" distB="0" distL="0" distR="0">
            <wp:extent cx="5969635" cy="5977890"/>
            <wp:effectExtent l="0" t="0" r="0" b="0"/>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Normal"/>
        <w:rPr>
          <w:rFonts w:eastAsia="Times New Roman"/>
          <w:bCs/>
          <w:sz w:val="16"/>
          <w:szCs w:val="16"/>
        </w:rPr>
      </w:pPr>
      <w:r>
        <w:rPr>
          <w:rFonts w:eastAsia="Times New Roman"/>
          <w:bCs/>
          <w:sz w:val="16"/>
          <w:szCs w:val="16"/>
        </w:rPr>
      </w:r>
      <w:r>
        <w:br w:type="page"/>
      </w:r>
    </w:p>
    <w:p>
      <w:pPr>
        <w:pStyle w:val="BodyText3"/>
        <w:spacing w:lineRule="auto" w:line="276" w:before="0" w:after="0"/>
        <w:ind w:right="5528" w:hanging="0"/>
        <w:rPr>
          <w:bCs/>
          <w:sz w:val="20"/>
        </w:rPr>
      </w:pPr>
      <w:r>
        <w:rPr>
          <w:bCs/>
          <w:sz w:val="20"/>
        </w:rPr>
      </w:r>
    </w:p>
    <w:p>
      <w:pPr>
        <w:pStyle w:val="BodyText3"/>
        <w:spacing w:lineRule="auto" w:line="276" w:before="0" w:after="0"/>
        <w:ind w:right="-142" w:hanging="0"/>
        <w:rPr>
          <w:rFonts w:eastAsia="Times New Roman"/>
          <w:bCs/>
          <w:sz w:val="20"/>
        </w:rPr>
      </w:pPr>
      <w:r>
        <w:rPr>
          <w:bCs/>
          <w:sz w:val="20"/>
        </w:rPr>
        <w:t>Wykres 5.</w:t>
      </w:r>
      <w:r>
        <w:rPr>
          <w:bCs/>
          <w:color w:val="000000"/>
          <w:kern w:val="2"/>
          <w:sz w:val="44"/>
          <w:szCs w:val="36"/>
        </w:rPr>
        <w:t xml:space="preserve"> </w:t>
      </w:r>
      <w:r>
        <w:rPr>
          <w:bCs/>
          <w:sz w:val="20"/>
        </w:rPr>
        <w:t>Struktura bezrobotnych ogółem wg wykształcenia (%).</w:t>
      </w:r>
    </w:p>
    <w:p>
      <w:pPr>
        <w:pStyle w:val="BodyText3"/>
        <w:spacing w:lineRule="auto" w:line="276"/>
        <w:jc w:val="both"/>
        <w:rPr>
          <w:color w:val="FF0000"/>
        </w:rPr>
      </w:pPr>
      <w:r>
        <w:rPr/>
        <w:drawing>
          <wp:inline distT="0" distB="0" distL="0" distR="0">
            <wp:extent cx="5857240" cy="4157980"/>
            <wp:effectExtent l="0" t="0" r="0" b="0"/>
            <wp:docPr id="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Normal"/>
        <w:jc w:val="both"/>
        <w:rPr>
          <w:szCs w:val="24"/>
        </w:rPr>
      </w:pPr>
      <w:r>
        <w:rPr>
          <w:szCs w:val="24"/>
        </w:rPr>
      </w:r>
    </w:p>
    <w:p>
      <w:pPr>
        <w:pStyle w:val="Normal"/>
        <w:jc w:val="both"/>
        <w:rPr>
          <w:szCs w:val="24"/>
        </w:rPr>
      </w:pPr>
      <w:r>
        <w:rPr>
          <w:szCs w:val="24"/>
        </w:rPr>
      </w:r>
    </w:p>
    <w:p>
      <w:pPr>
        <w:pStyle w:val="Normal"/>
        <w:jc w:val="both"/>
        <w:rPr>
          <w:szCs w:val="24"/>
        </w:rPr>
      </w:pPr>
      <w:r>
        <w:rPr>
          <w:szCs w:val="24"/>
        </w:rPr>
        <w:t>Analizując bezrobotnych wg poziomu wykształcenia oraz płci możemy stwierdzić, że na dzień 31.12.2021 r. bezrobotne kobiety są lepiej wykształcone od bezrobotnych mężczyzn. Różnice udziału pań i panów z wykształceniem wyższym, oraz zasadniczym zawodowym są znaczne.</w:t>
      </w:r>
      <w:r>
        <w:rPr>
          <w:b/>
          <w:i/>
          <w:szCs w:val="24"/>
        </w:rPr>
        <w:t xml:space="preserve"> </w:t>
      </w:r>
      <w:r>
        <w:rPr>
          <w:szCs w:val="24"/>
        </w:rPr>
        <w:t>Największa dysproporcja udziału dotyczyła osób z wykształceniem zasadniczym zawodowym (więcej bezrobotnych mężczyzn posiadało wykształcenie zasadnicze zawodowe) gdzie różnica wynosiła, aż 17,7 punktu procentowego od wartości obliczonej dla mężczyzn.</w:t>
      </w:r>
    </w:p>
    <w:p>
      <w:pPr>
        <w:pStyle w:val="Normal"/>
        <w:rPr>
          <w:bCs/>
          <w:sz w:val="22"/>
          <w:szCs w:val="22"/>
        </w:rPr>
      </w:pPr>
      <w:r>
        <w:rPr>
          <w:bCs/>
          <w:sz w:val="22"/>
          <w:szCs w:val="22"/>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sz w:val="20"/>
        </w:rPr>
      </w:pPr>
      <w:r>
        <w:rPr>
          <w:bCs/>
          <w:sz w:val="20"/>
        </w:rPr>
      </w:r>
    </w:p>
    <w:p>
      <w:pPr>
        <w:pStyle w:val="Normal"/>
        <w:rPr>
          <w:bCs/>
          <w:sz w:val="20"/>
        </w:rPr>
      </w:pPr>
      <w:r>
        <w:rPr>
          <w:bCs/>
          <w:sz w:val="20"/>
        </w:rPr>
      </w:r>
    </w:p>
    <w:p>
      <w:pPr>
        <w:pStyle w:val="Normal"/>
        <w:rPr>
          <w:bCs/>
          <w:sz w:val="20"/>
        </w:rPr>
      </w:pPr>
      <w:r>
        <w:rPr>
          <w:bCs/>
          <w:sz w:val="20"/>
        </w:rPr>
      </w:r>
    </w:p>
    <w:p>
      <w:pPr>
        <w:pStyle w:val="Normal"/>
        <w:rPr>
          <w:bCs/>
          <w:sz w:val="20"/>
        </w:rPr>
      </w:pPr>
      <w:r>
        <w:rPr>
          <w:bCs/>
          <w:sz w:val="20"/>
        </w:rPr>
      </w:r>
    </w:p>
    <w:p>
      <w:pPr>
        <w:pStyle w:val="Normal"/>
        <w:rPr>
          <w:bCs/>
          <w:sz w:val="20"/>
        </w:rPr>
      </w:pPr>
      <w:r>
        <w:rPr>
          <w:bCs/>
          <w:position w:val="-5"/>
          <w:sz w:val="20"/>
        </w:rPr>
        <w:t>Wykres 6.</w:t>
      </w:r>
      <w:r>
        <w:rPr>
          <w:bCs/>
          <w:color w:val="000000"/>
          <w:kern w:val="2"/>
          <w:position w:val="-5"/>
          <w:sz w:val="32"/>
          <w:szCs w:val="36"/>
        </w:rPr>
        <w:t xml:space="preserve"> </w:t>
      </w:r>
      <w:r>
        <w:rPr>
          <w:bCs/>
          <w:position w:val="-5"/>
          <w:sz w:val="20"/>
        </w:rPr>
        <w:t>Struktura bezrobotnych według wykształcenia i płci - stan na 31.12.2020r.</w:t>
      </w:r>
    </w:p>
    <w:p>
      <w:pPr>
        <w:pStyle w:val="Normal"/>
        <w:rPr>
          <w:color w:val="FF0000"/>
          <w:sz w:val="22"/>
        </w:rPr>
      </w:pPr>
      <w:r>
        <w:rPr/>
        <w:drawing>
          <wp:inline distT="0" distB="0" distL="0" distR="0">
            <wp:extent cx="6029960" cy="2726055"/>
            <wp:effectExtent l="0" t="0" r="0" b="0"/>
            <wp:docPr id="7"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Normal"/>
        <w:rPr>
          <w:rFonts w:eastAsia="Times New Roman"/>
          <w:b/>
          <w:b/>
          <w:szCs w:val="24"/>
        </w:rPr>
      </w:pPr>
      <w:r>
        <w:rPr>
          <w:rFonts w:eastAsia="Times New Roman"/>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t>4. Struktura bezrobotnych według wieku.</w:t>
      </w:r>
    </w:p>
    <w:p>
      <w:pPr>
        <w:pStyle w:val="Normal"/>
        <w:rPr>
          <w:rFonts w:eastAsia="Calibri"/>
          <w:b/>
          <w:b/>
          <w:szCs w:val="24"/>
          <w:lang w:eastAsia="en-US"/>
        </w:rPr>
      </w:pPr>
      <w:r>
        <w:rPr>
          <w:rFonts w:eastAsia="Calibri"/>
          <w:b/>
          <w:szCs w:val="24"/>
          <w:lang w:eastAsia="en-US"/>
        </w:rPr>
      </w:r>
    </w:p>
    <w:p>
      <w:pPr>
        <w:pStyle w:val="Normal"/>
        <w:jc w:val="both"/>
        <w:rPr>
          <w:szCs w:val="24"/>
        </w:rPr>
      </w:pPr>
      <w:r>
        <w:rPr>
          <w:szCs w:val="24"/>
        </w:rPr>
        <w:t xml:space="preserve">Porównując strukturę bezrobotnych wg wieku w 2021 r. i w 2020 r. można stwierdzić, </w:t>
        <w:br/>
        <w:t xml:space="preserve">że nastąpił spadek liczby bezrobotnych niemal we wszystkich przedziałach wiekowych. Wyjątek stanowi grupa osób w wieku od 45 do 54lat gdzie liczebność wzrosła o 7 osób. </w:t>
      </w:r>
    </w:p>
    <w:p>
      <w:pPr>
        <w:pStyle w:val="Normal"/>
        <w:jc w:val="both"/>
        <w:rPr>
          <w:szCs w:val="24"/>
        </w:rPr>
      </w:pPr>
      <w:r>
        <w:rPr>
          <w:szCs w:val="24"/>
        </w:rPr>
      </w:r>
    </w:p>
    <w:p>
      <w:pPr>
        <w:pStyle w:val="Normal"/>
        <w:jc w:val="both"/>
        <w:rPr>
          <w:sz w:val="20"/>
          <w:szCs w:val="16"/>
        </w:rPr>
      </w:pPr>
      <w:r>
        <w:rPr>
          <w:sz w:val="20"/>
          <w:szCs w:val="16"/>
        </w:rPr>
        <w:t>Tabela 4. Struktura bezrobotnych wg wieku.</w:t>
      </w:r>
    </w:p>
    <w:p>
      <w:pPr>
        <w:pStyle w:val="Normal"/>
        <w:jc w:val="both"/>
        <w:rPr>
          <w:sz w:val="20"/>
          <w:szCs w:val="16"/>
        </w:rPr>
      </w:pPr>
      <w:r>
        <w:rPr>
          <w:sz w:val="20"/>
          <w:szCs w:val="16"/>
        </w:rPr>
      </w:r>
    </w:p>
    <w:tbl>
      <w:tblPr>
        <w:tblW w:w="8955" w:type="dxa"/>
        <w:jc w:val="left"/>
        <w:tblInd w:w="1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0" w:firstColumn="1" w:lastColumn="0" w:noHBand="0" w:val="00a0"/>
      </w:tblPr>
      <w:tblGrid>
        <w:gridCol w:w="1756"/>
        <w:gridCol w:w="1938"/>
        <w:gridCol w:w="1846"/>
        <w:gridCol w:w="1"/>
        <w:gridCol w:w="1712"/>
        <w:gridCol w:w="1702"/>
      </w:tblGrid>
      <w:tr>
        <w:trPr/>
        <w:tc>
          <w:tcPr>
            <w:tcW w:w="175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ind w:left="-250" w:hanging="0"/>
              <w:jc w:val="center"/>
              <w:rPr>
                <w:rFonts w:eastAsia="Calibri"/>
                <w:b/>
                <w:b/>
                <w:szCs w:val="24"/>
                <w:lang w:eastAsia="en-US"/>
              </w:rPr>
            </w:pPr>
            <w:r>
              <w:rPr>
                <w:b/>
                <w:szCs w:val="24"/>
              </w:rPr>
              <w:t>Wiek</w:t>
            </w:r>
          </w:p>
        </w:tc>
        <w:tc>
          <w:tcPr>
            <w:tcW w:w="37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Zarejestrowani - stan w końcu roku</w:t>
            </w:r>
          </w:p>
        </w:tc>
        <w:tc>
          <w:tcPr>
            <w:tcW w:w="341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 xml:space="preserve">Wzrost / spadek w stosunku </w:t>
              <w:br/>
              <w:t>do 2020 r.</w:t>
            </w:r>
          </w:p>
        </w:tc>
      </w:tr>
      <w:tr>
        <w:trPr/>
        <w:tc>
          <w:tcPr>
            <w:tcW w:w="175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rPr>
                <w:rFonts w:eastAsia="Calibri"/>
                <w:b/>
                <w:b/>
                <w:szCs w:val="24"/>
                <w:lang w:eastAsia="en-US"/>
              </w:rPr>
            </w:pPr>
            <w:r>
              <w:rPr>
                <w:rFonts w:eastAsia="Calibri"/>
                <w:b/>
                <w:szCs w:val="24"/>
                <w:lang w:eastAsia="en-US"/>
              </w:rPr>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szCs w:val="24"/>
                <w:lang w:eastAsia="en-US"/>
              </w:rPr>
            </w:pPr>
            <w:r>
              <w:rPr>
                <w:szCs w:val="24"/>
              </w:rPr>
              <w:t>2020r.</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2021r.</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szCs w:val="24"/>
                <w:lang w:eastAsia="en-US"/>
              </w:rPr>
            </w:pPr>
            <w:r>
              <w:rPr>
                <w:szCs w:val="24"/>
              </w:rPr>
              <w:t>w osobach</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szCs w:val="24"/>
                <w:lang w:eastAsia="en-US"/>
              </w:rPr>
            </w:pPr>
            <w:r>
              <w:rPr>
                <w:szCs w:val="24"/>
              </w:rPr>
              <w:t>w %</w:t>
            </w:r>
          </w:p>
        </w:tc>
      </w:tr>
      <w:tr>
        <w:trPr/>
        <w:tc>
          <w:tcPr>
            <w:tcW w:w="1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18 – 24 lata</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337</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b/>
                <w:b/>
                <w:szCs w:val="24"/>
                <w:lang w:eastAsia="en-US"/>
              </w:rPr>
            </w:pPr>
            <w:r>
              <w:rPr>
                <w:b/>
                <w:szCs w:val="24"/>
              </w:rPr>
              <w:t>230</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- 107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- 31,75</w:t>
            </w:r>
          </w:p>
        </w:tc>
      </w:tr>
      <w:tr>
        <w:trPr/>
        <w:tc>
          <w:tcPr>
            <w:tcW w:w="1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25 – 34 lata</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1143</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b/>
                <w:b/>
                <w:szCs w:val="24"/>
                <w:lang w:eastAsia="en-US"/>
              </w:rPr>
            </w:pPr>
            <w:r>
              <w:rPr>
                <w:b/>
                <w:szCs w:val="24"/>
              </w:rPr>
              <w:t>884</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- 259</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- 22,66</w:t>
            </w:r>
          </w:p>
        </w:tc>
      </w:tr>
      <w:tr>
        <w:trPr/>
        <w:tc>
          <w:tcPr>
            <w:tcW w:w="1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35 – 44 lata</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1453</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b/>
                <w:b/>
                <w:szCs w:val="24"/>
                <w:lang w:eastAsia="en-US"/>
              </w:rPr>
            </w:pPr>
            <w:r>
              <w:rPr>
                <w:b/>
                <w:szCs w:val="24"/>
              </w:rPr>
              <w:t>1309</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- 144</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- 9,91</w:t>
            </w:r>
          </w:p>
        </w:tc>
      </w:tr>
      <w:tr>
        <w:trPr/>
        <w:tc>
          <w:tcPr>
            <w:tcW w:w="1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45 – 54 lata</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1033</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b/>
                <w:b/>
                <w:szCs w:val="24"/>
                <w:lang w:eastAsia="en-US"/>
              </w:rPr>
            </w:pPr>
            <w:r>
              <w:rPr>
                <w:b/>
                <w:szCs w:val="24"/>
              </w:rPr>
              <w:t>1040</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+ 7</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+ 0,7</w:t>
            </w:r>
          </w:p>
        </w:tc>
      </w:tr>
      <w:tr>
        <w:trPr/>
        <w:tc>
          <w:tcPr>
            <w:tcW w:w="1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55 – 59 lat</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562</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b/>
                <w:b/>
                <w:szCs w:val="24"/>
                <w:lang w:eastAsia="en-US"/>
              </w:rPr>
            </w:pPr>
            <w:r>
              <w:rPr>
                <w:b/>
                <w:szCs w:val="24"/>
              </w:rPr>
              <w:t>526</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- 36</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- 6,41</w:t>
            </w:r>
          </w:p>
        </w:tc>
      </w:tr>
      <w:tr>
        <w:trPr/>
        <w:tc>
          <w:tcPr>
            <w:tcW w:w="17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8DB3E2" w:val="clear"/>
            <w:tcMar>
              <w:left w:w="108" w:type="dxa"/>
            </w:tcMar>
            <w:vAlign w:val="center"/>
          </w:tcPr>
          <w:p>
            <w:pPr>
              <w:pStyle w:val="Normal"/>
              <w:spacing w:lineRule="auto" w:line="276" w:before="0" w:after="200"/>
              <w:jc w:val="center"/>
              <w:rPr>
                <w:rFonts w:eastAsia="Calibri"/>
                <w:b/>
                <w:b/>
                <w:szCs w:val="24"/>
                <w:lang w:eastAsia="en-US"/>
              </w:rPr>
            </w:pPr>
            <w:r>
              <w:rPr>
                <w:b/>
                <w:szCs w:val="24"/>
              </w:rPr>
              <w:t>60  i więcej</w:t>
            </w:r>
          </w:p>
        </w:tc>
        <w:tc>
          <w:tcPr>
            <w:tcW w:w="193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362</w:t>
            </w:r>
          </w:p>
        </w:tc>
        <w:tc>
          <w:tcPr>
            <w:tcW w:w="18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b/>
                <w:b/>
                <w:szCs w:val="24"/>
                <w:lang w:eastAsia="en-US"/>
              </w:rPr>
            </w:pPr>
            <w:r>
              <w:rPr>
                <w:b/>
                <w:szCs w:val="24"/>
              </w:rPr>
              <w:t>318</w:t>
            </w:r>
          </w:p>
        </w:tc>
        <w:tc>
          <w:tcPr>
            <w:tcW w:w="171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- 44</w:t>
            </w:r>
          </w:p>
        </w:tc>
        <w:tc>
          <w:tcPr>
            <w:tcW w:w="17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vAlign w:val="center"/>
          </w:tcPr>
          <w:p>
            <w:pPr>
              <w:pStyle w:val="Normal"/>
              <w:spacing w:lineRule="auto" w:line="276" w:before="0" w:after="200"/>
              <w:jc w:val="center"/>
              <w:rPr>
                <w:rFonts w:eastAsia="Calibri"/>
                <w:szCs w:val="24"/>
                <w:lang w:eastAsia="en-US"/>
              </w:rPr>
            </w:pPr>
            <w:r>
              <w:rPr>
                <w:szCs w:val="24"/>
              </w:rPr>
              <w:t>- 12,15</w:t>
            </w:r>
          </w:p>
        </w:tc>
      </w:tr>
    </w:tbl>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b/>
          <w:b/>
          <w:sz w:val="26"/>
          <w:szCs w:val="26"/>
        </w:rPr>
      </w:pPr>
      <w:r>
        <w:rPr>
          <w:b/>
          <w:sz w:val="26"/>
          <w:szCs w:val="26"/>
        </w:rPr>
      </w:r>
    </w:p>
    <w:p>
      <w:pPr>
        <w:pStyle w:val="Normal"/>
        <w:rPr>
          <w:szCs w:val="24"/>
        </w:rPr>
      </w:pPr>
      <w:r>
        <w:rPr>
          <w:b/>
          <w:sz w:val="26"/>
          <w:szCs w:val="26"/>
        </w:rPr>
        <w:t xml:space="preserve"> </w:t>
      </w:r>
      <w:r>
        <w:rPr>
          <w:b/>
          <w:szCs w:val="24"/>
        </w:rPr>
        <w:t xml:space="preserve"> </w:t>
      </w:r>
      <w:r>
        <w:rPr>
          <w:b/>
          <w:szCs w:val="24"/>
        </w:rPr>
        <w:t>5. Struktura bezrobotnych według wieku i czasu pozostawania bez pracy.</w:t>
      </w:r>
    </w:p>
    <w:p>
      <w:pPr>
        <w:pStyle w:val="ListParagraph"/>
        <w:spacing w:lineRule="auto" w:line="276"/>
        <w:ind w:left="547" w:hanging="0"/>
        <w:rPr>
          <w:szCs w:val="24"/>
        </w:rPr>
      </w:pPr>
      <w:r>
        <w:rPr>
          <w:szCs w:val="24"/>
        </w:rPr>
      </w:r>
    </w:p>
    <w:p>
      <w:pPr>
        <w:pStyle w:val="Normal"/>
        <w:ind w:left="142" w:hanging="0"/>
        <w:rPr>
          <w:szCs w:val="24"/>
        </w:rPr>
      </w:pPr>
      <w:r>
        <w:rPr>
          <w:szCs w:val="24"/>
        </w:rPr>
        <w:t>Najdłużej – powyżej 12 miesięcy pozostają bez pracy osoby w grupie wiekowej:</w:t>
      </w:r>
    </w:p>
    <w:p>
      <w:pPr>
        <w:pStyle w:val="Normal"/>
        <w:ind w:left="142" w:hanging="0"/>
        <w:rPr>
          <w:szCs w:val="24"/>
        </w:rPr>
      </w:pPr>
      <w:r>
        <w:rPr>
          <w:szCs w:val="24"/>
        </w:rPr>
      </w:r>
    </w:p>
    <w:p>
      <w:pPr>
        <w:pStyle w:val="BodyText3"/>
        <w:widowControl/>
        <w:numPr>
          <w:ilvl w:val="0"/>
          <w:numId w:val="3"/>
        </w:numPr>
        <w:suppressAutoHyphens w:val="false"/>
        <w:spacing w:lineRule="auto" w:line="276" w:before="0" w:after="0"/>
        <w:ind w:left="426" w:hanging="284"/>
        <w:jc w:val="both"/>
        <w:rPr>
          <w:sz w:val="24"/>
          <w:szCs w:val="24"/>
        </w:rPr>
      </w:pPr>
      <w:r>
        <w:rPr>
          <w:sz w:val="24"/>
          <w:szCs w:val="24"/>
        </w:rPr>
        <w:t>35 – 44 lata – 640 osób tj. 14.9% ogółu zarejestrowanych,</w:t>
      </w:r>
    </w:p>
    <w:p>
      <w:pPr>
        <w:pStyle w:val="BodyText3"/>
        <w:widowControl/>
        <w:numPr>
          <w:ilvl w:val="0"/>
          <w:numId w:val="3"/>
        </w:numPr>
        <w:suppressAutoHyphens w:val="false"/>
        <w:spacing w:lineRule="auto" w:line="276" w:before="0" w:after="0"/>
        <w:ind w:left="426" w:hanging="284"/>
        <w:jc w:val="both"/>
        <w:rPr>
          <w:sz w:val="24"/>
          <w:szCs w:val="24"/>
        </w:rPr>
      </w:pPr>
      <w:r>
        <w:rPr>
          <w:sz w:val="24"/>
          <w:szCs w:val="24"/>
        </w:rPr>
        <w:t xml:space="preserve">45 – 54 lata – 532 osoby tj. 12,4% ogółu zarejestrowanych, </w:t>
      </w:r>
    </w:p>
    <w:p>
      <w:pPr>
        <w:pStyle w:val="BodyText3"/>
        <w:widowControl/>
        <w:numPr>
          <w:ilvl w:val="0"/>
          <w:numId w:val="3"/>
        </w:numPr>
        <w:suppressAutoHyphens w:val="false"/>
        <w:spacing w:lineRule="auto" w:line="276" w:before="0" w:after="0"/>
        <w:ind w:left="426" w:hanging="284"/>
        <w:jc w:val="both"/>
        <w:rPr>
          <w:sz w:val="24"/>
          <w:szCs w:val="24"/>
        </w:rPr>
      </w:pPr>
      <w:r>
        <w:rPr>
          <w:sz w:val="24"/>
          <w:szCs w:val="24"/>
        </w:rPr>
        <w:t>25 – 34 lata – 349 osób tj. 8,1% ogółu zarejestrowanych,</w:t>
      </w:r>
    </w:p>
    <w:p>
      <w:pPr>
        <w:pStyle w:val="BodyText3"/>
        <w:widowControl/>
        <w:numPr>
          <w:ilvl w:val="0"/>
          <w:numId w:val="3"/>
        </w:numPr>
        <w:suppressAutoHyphens w:val="false"/>
        <w:spacing w:lineRule="auto" w:line="276" w:before="360" w:after="0"/>
        <w:ind w:left="426" w:hanging="284"/>
        <w:jc w:val="both"/>
        <w:rPr>
          <w:sz w:val="24"/>
          <w:szCs w:val="24"/>
        </w:rPr>
      </w:pPr>
      <w:r>
        <w:rPr>
          <w:sz w:val="24"/>
          <w:szCs w:val="24"/>
        </w:rPr>
        <w:t>55 – 59 lat   – 300 osób tj. 7% ogółu zarejestrowanych,</w:t>
      </w:r>
    </w:p>
    <w:p>
      <w:pPr>
        <w:pStyle w:val="BodyText3"/>
        <w:widowControl/>
        <w:numPr>
          <w:ilvl w:val="0"/>
          <w:numId w:val="3"/>
        </w:numPr>
        <w:suppressAutoHyphens w:val="false"/>
        <w:spacing w:lineRule="auto" w:line="276" w:before="0" w:after="0"/>
        <w:ind w:left="426" w:hanging="284"/>
        <w:jc w:val="both"/>
        <w:rPr>
          <w:sz w:val="24"/>
          <w:szCs w:val="24"/>
        </w:rPr>
      </w:pPr>
      <w:r>
        <w:rPr>
          <w:sz w:val="24"/>
          <w:szCs w:val="24"/>
        </w:rPr>
        <w:t>60 lat i więcej – 211 osób tj. 4,9% ogółu zarejestrowanych,</w:t>
      </w:r>
    </w:p>
    <w:p>
      <w:pPr>
        <w:pStyle w:val="BodyText3"/>
        <w:widowControl/>
        <w:numPr>
          <w:ilvl w:val="0"/>
          <w:numId w:val="3"/>
        </w:numPr>
        <w:suppressAutoHyphens w:val="false"/>
        <w:spacing w:lineRule="auto" w:line="276" w:before="0" w:after="0"/>
        <w:ind w:left="426" w:hanging="284"/>
        <w:jc w:val="both"/>
        <w:rPr>
          <w:sz w:val="24"/>
          <w:szCs w:val="24"/>
        </w:rPr>
      </w:pPr>
      <w:r>
        <w:rPr>
          <w:sz w:val="24"/>
          <w:szCs w:val="24"/>
        </w:rPr>
        <w:t>18 – 24 lata –   53 osoby tj. 1,2% ogółu zarejestrowanych.</w:t>
      </w:r>
    </w:p>
    <w:p>
      <w:pPr>
        <w:pStyle w:val="BodyText3"/>
        <w:spacing w:lineRule="auto" w:line="276" w:before="20" w:after="20"/>
        <w:ind w:left="360" w:hanging="0"/>
        <w:jc w:val="both"/>
        <w:rPr>
          <w:sz w:val="24"/>
          <w:szCs w:val="24"/>
        </w:rPr>
      </w:pPr>
      <w:r>
        <w:rPr>
          <w:sz w:val="24"/>
          <w:szCs w:val="24"/>
        </w:rPr>
      </w:r>
    </w:p>
    <w:p>
      <w:pPr>
        <w:pStyle w:val="BodyText3"/>
        <w:spacing w:lineRule="auto" w:line="276" w:before="600" w:after="0"/>
        <w:ind w:left="360" w:hanging="0"/>
        <w:jc w:val="both"/>
        <w:rPr>
          <w:sz w:val="24"/>
          <w:szCs w:val="24"/>
        </w:rPr>
      </w:pPr>
      <w:r>
        <w:rPr>
          <w:sz w:val="24"/>
          <w:szCs w:val="24"/>
        </w:rPr>
      </w:r>
    </w:p>
    <w:p>
      <w:pPr>
        <w:pStyle w:val="BodyText3"/>
        <w:spacing w:lineRule="auto" w:line="276" w:before="0" w:after="0"/>
        <w:ind w:left="360" w:hanging="0"/>
        <w:jc w:val="both"/>
        <w:rPr>
          <w:sz w:val="24"/>
          <w:szCs w:val="24"/>
        </w:rPr>
      </w:pPr>
      <w:r>
        <w:rPr>
          <w:sz w:val="24"/>
          <w:szCs w:val="24"/>
        </w:rPr>
      </w:r>
    </w:p>
    <w:p>
      <w:pPr>
        <w:pStyle w:val="BodyText3"/>
        <w:spacing w:lineRule="auto" w:line="276" w:before="0" w:after="0"/>
        <w:jc w:val="both"/>
        <w:rPr>
          <w:bCs/>
          <w:sz w:val="20"/>
        </w:rPr>
      </w:pPr>
      <w:r>
        <w:rPr>
          <w:bCs/>
          <w:position w:val="-5"/>
          <w:sz w:val="20"/>
        </w:rPr>
        <w:t>Wykres 7.</w:t>
      </w:r>
      <w:r>
        <w:rPr>
          <w:bCs/>
          <w:color w:val="000000"/>
          <w:kern w:val="2"/>
          <w:position w:val="-5"/>
          <w:sz w:val="44"/>
          <w:szCs w:val="36"/>
        </w:rPr>
        <w:t xml:space="preserve"> </w:t>
      </w:r>
      <w:r>
        <w:rPr>
          <w:bCs/>
          <w:position w:val="-5"/>
          <w:sz w:val="20"/>
        </w:rPr>
        <w:t>Struktura bezrobotnych wg wieku, pozostających bez pracy powyżej 12 miesięcy</w:t>
      </w:r>
    </w:p>
    <w:p>
      <w:pPr>
        <w:pStyle w:val="Normal"/>
        <w:rPr>
          <w:sz w:val="22"/>
        </w:rPr>
      </w:pPr>
      <w:r>
        <w:rPr/>
        <w:drawing>
          <wp:inline distT="0" distB="0" distL="0" distR="0">
            <wp:extent cx="5925820" cy="3916680"/>
            <wp:effectExtent l="0" t="0" r="0" b="0"/>
            <wp:docPr id="8"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ListParagraph"/>
        <w:spacing w:lineRule="auto" w:line="276"/>
        <w:ind w:left="502" w:hanging="502"/>
        <w:rPr>
          <w:b/>
          <w:b/>
          <w:szCs w:val="24"/>
        </w:rPr>
      </w:pPr>
      <w:r>
        <w:rPr>
          <w:b/>
          <w:szCs w:val="24"/>
        </w:rPr>
      </w:r>
    </w:p>
    <w:p>
      <w:pPr>
        <w:pStyle w:val="ListParagraph"/>
        <w:spacing w:lineRule="auto" w:line="276"/>
        <w:ind w:left="502" w:hanging="502"/>
        <w:rPr>
          <w:b/>
          <w:b/>
          <w:szCs w:val="24"/>
        </w:rPr>
      </w:pPr>
      <w:r>
        <w:rPr>
          <w:b/>
          <w:szCs w:val="24"/>
        </w:rPr>
      </w:r>
    </w:p>
    <w:p>
      <w:pPr>
        <w:pStyle w:val="ListParagraph"/>
        <w:spacing w:lineRule="auto" w:line="276"/>
        <w:ind w:left="502" w:hanging="502"/>
        <w:rPr>
          <w:b/>
          <w:b/>
          <w:szCs w:val="24"/>
        </w:rPr>
      </w:pPr>
      <w:r>
        <w:rPr>
          <w:b/>
          <w:szCs w:val="24"/>
        </w:rPr>
      </w:r>
    </w:p>
    <w:p>
      <w:pPr>
        <w:pStyle w:val="ListParagraph"/>
        <w:spacing w:lineRule="auto" w:line="276"/>
        <w:ind w:left="502" w:hanging="502"/>
        <w:rPr>
          <w:b/>
          <w:b/>
          <w:szCs w:val="24"/>
        </w:rPr>
      </w:pPr>
      <w:r>
        <w:rPr>
          <w:b/>
          <w:szCs w:val="24"/>
        </w:rPr>
      </w:r>
    </w:p>
    <w:p>
      <w:pPr>
        <w:pStyle w:val="ListParagraph"/>
        <w:spacing w:lineRule="auto" w:line="276"/>
        <w:ind w:left="502" w:hanging="502"/>
        <w:rPr>
          <w:b/>
          <w:b/>
          <w:szCs w:val="24"/>
        </w:rPr>
      </w:pPr>
      <w:r>
        <w:rPr>
          <w:b/>
          <w:szCs w:val="24"/>
        </w:rPr>
      </w:r>
    </w:p>
    <w:p>
      <w:pPr>
        <w:pStyle w:val="ListParagraph"/>
        <w:spacing w:lineRule="auto" w:line="276"/>
        <w:ind w:left="502" w:hanging="502"/>
        <w:rPr>
          <w:b/>
          <w:b/>
          <w:szCs w:val="24"/>
        </w:rPr>
      </w:pPr>
      <w:r>
        <w:rPr>
          <w:b/>
          <w:szCs w:val="24"/>
        </w:rPr>
      </w:r>
    </w:p>
    <w:p>
      <w:pPr>
        <w:pStyle w:val="ListParagraph"/>
        <w:spacing w:lineRule="auto" w:line="276"/>
        <w:ind w:left="502" w:hanging="502"/>
        <w:rPr>
          <w:b/>
          <w:b/>
          <w:szCs w:val="24"/>
        </w:rPr>
      </w:pPr>
      <w:r>
        <w:rPr>
          <w:b/>
          <w:szCs w:val="24"/>
        </w:rPr>
      </w:r>
    </w:p>
    <w:p>
      <w:pPr>
        <w:pStyle w:val="ListParagraph"/>
        <w:numPr>
          <w:ilvl w:val="0"/>
          <w:numId w:val="5"/>
        </w:numPr>
        <w:spacing w:lineRule="auto" w:line="276"/>
        <w:rPr>
          <w:b/>
          <w:b/>
          <w:szCs w:val="24"/>
        </w:rPr>
      </w:pPr>
      <w:r>
        <w:rPr>
          <w:b/>
          <w:szCs w:val="24"/>
        </w:rPr>
        <w:t>Struktura bezrobotnych według wykształcenia i czasu pozostawania bez pracy.</w:t>
      </w:r>
    </w:p>
    <w:p>
      <w:pPr>
        <w:pStyle w:val="ListParagraph"/>
        <w:spacing w:lineRule="auto" w:line="276"/>
        <w:ind w:left="502" w:hanging="0"/>
        <w:rPr>
          <w:b/>
          <w:b/>
          <w:szCs w:val="24"/>
        </w:rPr>
      </w:pPr>
      <w:r>
        <w:rPr>
          <w:b/>
          <w:szCs w:val="24"/>
        </w:rPr>
        <w:t xml:space="preserve"> </w:t>
      </w:r>
    </w:p>
    <w:p>
      <w:pPr>
        <w:pStyle w:val="Normal"/>
        <w:jc w:val="both"/>
        <w:rPr>
          <w:szCs w:val="24"/>
        </w:rPr>
      </w:pPr>
      <w:r>
        <w:rPr>
          <w:szCs w:val="24"/>
        </w:rPr>
        <w:t>Duże znaczenie dla poziomu bezrobocia ma długi czas oczekiwania na pracę, który może przyczynić się do przedawnienia posiadanych kwalifikacji. Jednym z najważniejszych elementów zmniejszających czas oczekiwania na pracę jest jak najszybsza aktywizacja zawodowa osób pozostających w ewidencji bezrobotnych.</w:t>
      </w:r>
    </w:p>
    <w:p>
      <w:pPr>
        <w:pStyle w:val="Nagwek5"/>
        <w:spacing w:before="0" w:after="0"/>
        <w:jc w:val="both"/>
        <w:rPr>
          <w:rFonts w:ascii="Times New Roman" w:hAnsi="Times New Roman"/>
          <w:color w:val="00000A"/>
          <w:szCs w:val="24"/>
        </w:rPr>
      </w:pPr>
      <w:r>
        <w:rPr>
          <w:rFonts w:ascii="Times New Roman" w:hAnsi="Times New Roman"/>
          <w:color w:val="00000A"/>
          <w:szCs w:val="24"/>
        </w:rPr>
        <w:t xml:space="preserve">Najdłużej powyżej 12 miesięcy pozostają bez pracy bezrobotni z wykształceniem zasadniczym zawodowym – 571 osób (458 osoby w 2020 r.), policealnym i średnim zawodowym – 437 osoby (372 osoby w 2020 r.), gimnazjalnym i poniżej – 562 osób (387 osoby w 2020 r.), </w:t>
        <w:br/>
        <w:t>z wykształceniem wyższym – 309 osób (277 osoby w 2020 r.) oraz ze średnim ogólnokształcącym – 206 osób (159 osób w 2020 r.).</w:t>
      </w:r>
    </w:p>
    <w:p>
      <w:pPr>
        <w:pStyle w:val="Normal"/>
        <w:rPr>
          <w:sz w:val="22"/>
          <w:szCs w:val="22"/>
        </w:rPr>
      </w:pPr>
      <w:r>
        <w:rPr>
          <w:sz w:val="22"/>
          <w:szCs w:val="22"/>
        </w:rPr>
      </w:r>
    </w:p>
    <w:p>
      <w:pPr>
        <w:pStyle w:val="BodyText3"/>
        <w:spacing w:lineRule="auto" w:line="276" w:before="0" w:after="0"/>
        <w:jc w:val="both"/>
        <w:rPr>
          <w:bCs/>
          <w:sz w:val="20"/>
        </w:rPr>
      </w:pPr>
      <w:r>
        <w:rPr>
          <w:bCs/>
          <w:position w:val="-5"/>
          <w:sz w:val="20"/>
        </w:rPr>
        <w:t>Wykres 8.</w:t>
      </w:r>
      <w:r>
        <w:rPr>
          <w:bCs/>
          <w:color w:val="000000"/>
          <w:kern w:val="2"/>
          <w:position w:val="-5"/>
          <w:sz w:val="44"/>
          <w:szCs w:val="36"/>
        </w:rPr>
        <w:t xml:space="preserve"> </w:t>
      </w:r>
      <w:r>
        <w:rPr>
          <w:bCs/>
          <w:position w:val="-5"/>
          <w:sz w:val="20"/>
        </w:rPr>
        <w:t>Struktura bezrobotnych według wykształcenia i czasu pozostawania bez pracy (powyżej 12 miesięcy).</w:t>
      </w:r>
    </w:p>
    <w:p>
      <w:pPr>
        <w:pStyle w:val="BodyText3"/>
        <w:spacing w:lineRule="auto" w:line="276"/>
        <w:jc w:val="both"/>
        <w:rPr>
          <w:b/>
          <w:b/>
          <w:sz w:val="24"/>
          <w:szCs w:val="24"/>
        </w:rPr>
      </w:pPr>
      <w:r>
        <w:rPr/>
        <w:drawing>
          <wp:inline distT="0" distB="0" distL="0" distR="0">
            <wp:extent cx="6055995" cy="4347845"/>
            <wp:effectExtent l="0" t="0" r="0" b="0"/>
            <wp:docPr id="9"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Normal"/>
        <w:rPr>
          <w:b/>
          <w:b/>
          <w:szCs w:val="24"/>
        </w:rPr>
      </w:pPr>
      <w:r>
        <w:rPr>
          <w:b/>
          <w:szCs w:val="24"/>
        </w:rPr>
      </w:r>
    </w:p>
    <w:p>
      <w:pPr>
        <w:pStyle w:val="ListParagraph"/>
        <w:numPr>
          <w:ilvl w:val="0"/>
          <w:numId w:val="5"/>
        </w:numPr>
        <w:rPr>
          <w:b/>
          <w:b/>
          <w:szCs w:val="24"/>
        </w:rPr>
      </w:pPr>
      <w:r>
        <w:rPr>
          <w:b/>
          <w:szCs w:val="24"/>
        </w:rPr>
        <w:t>Bezrobotni według stażu pracy.</w:t>
      </w:r>
    </w:p>
    <w:p>
      <w:pPr>
        <w:pStyle w:val="ListParagraph"/>
        <w:ind w:left="360" w:hanging="0"/>
        <w:rPr>
          <w:sz w:val="26"/>
          <w:szCs w:val="26"/>
        </w:rPr>
      </w:pPr>
      <w:r>
        <w:rPr>
          <w:sz w:val="26"/>
          <w:szCs w:val="26"/>
        </w:rPr>
      </w:r>
    </w:p>
    <w:p>
      <w:pPr>
        <w:pStyle w:val="ListParagraph"/>
        <w:ind w:left="0" w:hanging="0"/>
        <w:jc w:val="both"/>
        <w:rPr>
          <w:color w:val="FF0000"/>
          <w:szCs w:val="24"/>
        </w:rPr>
      </w:pPr>
      <w:r>
        <w:rPr>
          <w:szCs w:val="24"/>
        </w:rPr>
        <w:t xml:space="preserve">Na koniec 2021 roku 3.610 osób legitymowało się doświadczeniem zawodowym </w:t>
        <w:br/>
        <w:t>co stanowiło 83 % ogółu zarejestrowanych. W analogicznym okresie 2020 r. doświadczenie zawodowe posiadało 4,061 bezrobotnych tj. 84,8% ogółu bezrobotnych.</w:t>
      </w:r>
    </w:p>
    <w:p>
      <w:pPr>
        <w:pStyle w:val="ListParagraph"/>
        <w:ind w:left="0" w:hanging="0"/>
        <w:jc w:val="both"/>
        <w:rPr>
          <w:szCs w:val="24"/>
        </w:rPr>
      </w:pPr>
      <w:r>
        <w:rPr>
          <w:szCs w:val="24"/>
        </w:rPr>
        <w:t xml:space="preserve">Na koniec roku 2021 r. przeważały osoby, które przed rejestracją pracowały od roku do </w:t>
        <w:br/>
        <w:t>5 lat i stanowiły one 22,9 % ogółu bezrobotnych (987 osób).</w:t>
      </w:r>
    </w:p>
    <w:p>
      <w:pPr>
        <w:pStyle w:val="ListParagraph"/>
        <w:ind w:left="0" w:hanging="0"/>
        <w:jc w:val="both"/>
        <w:rPr>
          <w:szCs w:val="24"/>
        </w:rPr>
      </w:pPr>
      <w:r>
        <w:rPr>
          <w:szCs w:val="24"/>
        </w:rPr>
        <w:t xml:space="preserve">W analogicznym okresie 2020 r. również najliczniej reprezentowaną grupą były osoby posiadające staż pracy od roku do 5 lat i stanowiły one 22,4 % ogółu bezrobotnych </w:t>
        <w:br/>
        <w:t>(8110 osoby).</w:t>
      </w:r>
    </w:p>
    <w:p>
      <w:pPr>
        <w:pStyle w:val="ListParagraph"/>
        <w:ind w:left="0" w:hanging="0"/>
        <w:jc w:val="both"/>
        <w:rPr>
          <w:szCs w:val="24"/>
        </w:rPr>
      </w:pPr>
      <w:r>
        <w:rPr>
          <w:szCs w:val="24"/>
        </w:rPr>
        <w:t>Osoby z 30 – letnim stażem były najmniej liczną grupą obejmującą 130 osób tj. 3 % ogółu bezrobotnych na koniec 2021 roku (153 osób w 2020 r.)</w:t>
      </w:r>
    </w:p>
    <w:p>
      <w:pPr>
        <w:pStyle w:val="BodyText3"/>
        <w:spacing w:before="0" w:after="0"/>
        <w:jc w:val="both"/>
        <w:rPr>
          <w:sz w:val="24"/>
          <w:szCs w:val="24"/>
        </w:rPr>
      </w:pPr>
      <w:r>
        <w:rPr>
          <w:sz w:val="24"/>
          <w:szCs w:val="24"/>
        </w:rPr>
        <w:t xml:space="preserve">Bezrobotni, nieposiadający stażu pracy stanowili 16,2 % (697 osób) ogółu zarejestrowanych (829 osoby w 2020 r.). Ich liczba zmniejszyła się o 132 osoby w porównaniu </w:t>
        <w:br/>
        <w:t>z liczbą osób nieposiadających doświadczenia zawodowego na koniec 2020 r.</w:t>
      </w:r>
    </w:p>
    <w:p>
      <w:pPr>
        <w:pStyle w:val="BodyText3"/>
        <w:spacing w:lineRule="auto" w:line="276" w:before="0" w:after="0"/>
        <w:jc w:val="both"/>
        <w:rPr>
          <w:bCs/>
          <w:sz w:val="20"/>
        </w:rPr>
      </w:pPr>
      <w:r>
        <w:rPr>
          <w:bCs/>
          <w:sz w:val="20"/>
        </w:rPr>
      </w:r>
    </w:p>
    <w:p>
      <w:pPr>
        <w:pStyle w:val="BodyText3"/>
        <w:spacing w:lineRule="auto" w:line="276" w:before="0" w:after="0"/>
        <w:jc w:val="both"/>
        <w:rPr>
          <w:bCs/>
          <w:sz w:val="20"/>
        </w:rPr>
      </w:pPr>
      <w:r>
        <w:rPr>
          <w:bCs/>
          <w:position w:val="-5"/>
          <w:sz w:val="20"/>
        </w:rPr>
        <w:t>Wykres 9.</w:t>
      </w:r>
      <w:r>
        <w:rPr>
          <w:bCs/>
          <w:color w:val="000000"/>
          <w:kern w:val="2"/>
          <w:position w:val="-5"/>
          <w:sz w:val="44"/>
          <w:szCs w:val="36"/>
        </w:rPr>
        <w:t xml:space="preserve"> </w:t>
      </w:r>
      <w:r>
        <w:rPr>
          <w:bCs/>
          <w:position w:val="-5"/>
          <w:sz w:val="20"/>
        </w:rPr>
        <w:t>Bezrobotni według stażu pracy.</w:t>
      </w:r>
    </w:p>
    <w:p>
      <w:pPr>
        <w:pStyle w:val="BodyText3"/>
        <w:spacing w:lineRule="auto" w:line="276"/>
        <w:ind w:left="708" w:hanging="708"/>
        <w:rPr>
          <w:b/>
          <w:b/>
          <w:sz w:val="26"/>
          <w:szCs w:val="26"/>
        </w:rPr>
      </w:pPr>
      <w:r>
        <w:rPr/>
        <w:drawing>
          <wp:inline distT="0" distB="0" distL="0" distR="0">
            <wp:extent cx="6288405" cy="4097655"/>
            <wp:effectExtent l="0" t="0" r="0" b="0"/>
            <wp:docPr id="16"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mc:AlternateContent>
          <mc:Choice Requires="wps">
            <w:drawing>
              <wp:anchor behindDoc="0" distT="0" distB="0" distL="114300" distR="114300" simplePos="0" locked="0" layoutInCell="1" allowOverlap="1" relativeHeight="2" wp14:anchorId="3A14436B">
                <wp:simplePos x="0" y="0"/>
                <wp:positionH relativeFrom="column">
                  <wp:posOffset>-549275</wp:posOffset>
                </wp:positionH>
                <wp:positionV relativeFrom="paragraph">
                  <wp:posOffset>5999480</wp:posOffset>
                </wp:positionV>
                <wp:extent cx="669925" cy="425450"/>
                <wp:effectExtent l="8255" t="5715" r="8255" b="7620"/>
                <wp:wrapNone/>
                <wp:docPr id="10" name="Pole tekstowe 12"/>
                <a:graphic xmlns:a="http://schemas.openxmlformats.org/drawingml/2006/main">
                  <a:graphicData uri="http://schemas.microsoft.com/office/word/2010/wordprocessingShape">
                    <wps:wsp>
                      <wps:cNvSpPr/>
                      <wps:spPr>
                        <a:xfrm>
                          <a:off x="0" y="0"/>
                          <a:ext cx="669240" cy="424800"/>
                        </a:xfrm>
                        <a:prstGeom prst="rect">
                          <a:avLst/>
                        </a:prstGeom>
                        <a:solidFill>
                          <a:srgbClr val="ffffff"/>
                        </a:solidFill>
                        <a:ln w="9360">
                          <a:solidFill>
                            <a:srgbClr val="ffffff"/>
                          </a:solidFill>
                          <a:miter/>
                        </a:ln>
                      </wps:spPr>
                      <wps:style>
                        <a:lnRef idx="0"/>
                        <a:fillRef idx="0"/>
                        <a:effectRef idx="0"/>
                        <a:fontRef idx="minor"/>
                      </wps:style>
                      <wps:txbx>
                        <w:txbxContent>
                          <w:p>
                            <w:pPr>
                              <w:pStyle w:val="Zawartoramki"/>
                              <w:rPr>
                                <w:color w:val="auto"/>
                              </w:rPr>
                            </w:pPr>
                            <w:r>
                              <w:rPr>
                                <w:color w:val="auto"/>
                              </w:rPr>
                            </w:r>
                          </w:p>
                        </w:txbxContent>
                      </wps:txbx>
                      <wps:bodyPr>
                        <a:noAutofit/>
                      </wps:bodyPr>
                    </wps:wsp>
                  </a:graphicData>
                </a:graphic>
              </wp:anchor>
            </w:drawing>
          </mc:Choice>
          <mc:Fallback>
            <w:pict>
              <v:rect id="shape_0" ID="Pole tekstowe 12" fillcolor="white" stroked="t" style="position:absolute;margin-left:-43.25pt;margin-top:472.4pt;width:52.65pt;height:33.4pt" wp14:anchorId="3A14436B">
                <w10:wrap type="none"/>
                <v:fill o:detectmouseclick="t" type="solid" color2="black"/>
                <v:stroke color="white" weight="9360" joinstyle="miter" endcap="flat"/>
                <v:textbox>
                  <w:txbxContent>
                    <w:p>
                      <w:pPr>
                        <w:pStyle w:val="Zawartoramki"/>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3" wp14:anchorId="496C99FB">
                <wp:simplePos x="0" y="0"/>
                <wp:positionH relativeFrom="column">
                  <wp:posOffset>5787390</wp:posOffset>
                </wp:positionH>
                <wp:positionV relativeFrom="paragraph">
                  <wp:posOffset>8293735</wp:posOffset>
                </wp:positionV>
                <wp:extent cx="574675" cy="500380"/>
                <wp:effectExtent l="10795" t="13970" r="5715" b="10160"/>
                <wp:wrapNone/>
                <wp:docPr id="12" name="Pole tekstowe 1"/>
                <a:graphic xmlns:a="http://schemas.openxmlformats.org/drawingml/2006/main">
                  <a:graphicData uri="http://schemas.microsoft.com/office/word/2010/wordprocessingShape">
                    <wps:wsp>
                      <wps:cNvSpPr/>
                      <wps:spPr>
                        <a:xfrm>
                          <a:off x="0" y="0"/>
                          <a:ext cx="574200" cy="499680"/>
                        </a:xfrm>
                        <a:prstGeom prst="rect">
                          <a:avLst/>
                        </a:prstGeom>
                        <a:solidFill>
                          <a:srgbClr val="ffffff"/>
                        </a:solidFill>
                        <a:ln w="9360">
                          <a:solidFill>
                            <a:srgbClr val="ffffff"/>
                          </a:solidFill>
                          <a:miter/>
                        </a:ln>
                      </wps:spPr>
                      <wps:style>
                        <a:lnRef idx="0"/>
                        <a:fillRef idx="0"/>
                        <a:effectRef idx="0"/>
                        <a:fontRef idx="minor"/>
                      </wps:style>
                      <wps:txbx>
                        <w:txbxContent>
                          <w:p>
                            <w:pPr>
                              <w:pStyle w:val="Zawartoramki"/>
                              <w:rPr>
                                <w:color w:val="auto"/>
                              </w:rPr>
                            </w:pPr>
                            <w:r>
                              <w:rPr>
                                <w:color w:val="auto"/>
                              </w:rPr>
                            </w:r>
                          </w:p>
                        </w:txbxContent>
                      </wps:txbx>
                      <wps:bodyPr>
                        <a:noAutofit/>
                      </wps:bodyPr>
                    </wps:wsp>
                  </a:graphicData>
                </a:graphic>
              </wp:anchor>
            </w:drawing>
          </mc:Choice>
          <mc:Fallback>
            <w:pict>
              <v:rect id="shape_0" ID="Pole tekstowe 1" fillcolor="white" stroked="t" style="position:absolute;margin-left:455.7pt;margin-top:653.05pt;width:45.15pt;height:39.3pt" wp14:anchorId="496C99FB">
                <w10:wrap type="none"/>
                <v:fill o:detectmouseclick="t" type="solid" color2="black"/>
                <v:stroke color="white" weight="9360" joinstyle="miter" endcap="flat"/>
                <v:textbox>
                  <w:txbxContent>
                    <w:p>
                      <w:pPr>
                        <w:pStyle w:val="Zawartoramki"/>
                        <w:rPr>
                          <w:color w:val="auto"/>
                        </w:rPr>
                      </w:pPr>
                      <w:r>
                        <w:rPr>
                          <w:color w:val="auto"/>
                        </w:rPr>
                      </w:r>
                    </w:p>
                  </w:txbxContent>
                </v:textbox>
              </v:rect>
            </w:pict>
          </mc:Fallback>
        </mc:AlternateContent>
        <mc:AlternateContent>
          <mc:Choice Requires="wps">
            <w:drawing>
              <wp:anchor behindDoc="0" distT="0" distB="0" distL="114300" distR="114300" simplePos="0" locked="0" layoutInCell="1" allowOverlap="1" relativeHeight="4" wp14:anchorId="366B3211">
                <wp:simplePos x="0" y="0"/>
                <wp:positionH relativeFrom="column">
                  <wp:posOffset>5734050</wp:posOffset>
                </wp:positionH>
                <wp:positionV relativeFrom="paragraph">
                  <wp:posOffset>349250</wp:posOffset>
                </wp:positionV>
                <wp:extent cx="457835" cy="255270"/>
                <wp:effectExtent l="5080" t="13335" r="13970" b="8255"/>
                <wp:wrapNone/>
                <wp:docPr id="14" name="Pole tekstowe 11"/>
                <a:graphic xmlns:a="http://schemas.openxmlformats.org/drawingml/2006/main">
                  <a:graphicData uri="http://schemas.microsoft.com/office/word/2010/wordprocessingShape">
                    <wps:wsp>
                      <wps:cNvSpPr/>
                      <wps:spPr>
                        <a:xfrm>
                          <a:off x="0" y="0"/>
                          <a:ext cx="457200" cy="254520"/>
                        </a:xfrm>
                        <a:prstGeom prst="rect">
                          <a:avLst/>
                        </a:prstGeom>
                        <a:solidFill>
                          <a:srgbClr val="ffffff"/>
                        </a:solidFill>
                        <a:ln w="9360">
                          <a:solidFill>
                            <a:srgbClr val="ffffff"/>
                          </a:solidFill>
                          <a:miter/>
                        </a:ln>
                      </wps:spPr>
                      <wps:style>
                        <a:lnRef idx="0"/>
                        <a:fillRef idx="0"/>
                        <a:effectRef idx="0"/>
                        <a:fontRef idx="minor"/>
                      </wps:style>
                      <wps:txbx>
                        <w:txbxContent>
                          <w:p>
                            <w:pPr>
                              <w:pStyle w:val="Zawartoramki"/>
                              <w:rPr>
                                <w:color w:val="auto"/>
                              </w:rPr>
                            </w:pPr>
                            <w:r>
                              <w:rPr>
                                <w:color w:val="auto"/>
                              </w:rPr>
                            </w:r>
                          </w:p>
                        </w:txbxContent>
                      </wps:txbx>
                      <wps:bodyPr>
                        <a:noAutofit/>
                      </wps:bodyPr>
                    </wps:wsp>
                  </a:graphicData>
                </a:graphic>
              </wp:anchor>
            </w:drawing>
          </mc:Choice>
          <mc:Fallback>
            <w:pict>
              <v:rect id="shape_0" ID="Pole tekstowe 11" fillcolor="white" stroked="t" style="position:absolute;margin-left:451.5pt;margin-top:27.5pt;width:35.95pt;height:20pt" wp14:anchorId="366B3211">
                <w10:wrap type="none"/>
                <v:fill o:detectmouseclick="t" type="solid" color2="black"/>
                <v:stroke color="white" weight="9360" joinstyle="miter" endcap="flat"/>
                <v:textbox>
                  <w:txbxContent>
                    <w:p>
                      <w:pPr>
                        <w:pStyle w:val="Zawartoramki"/>
                        <w:rPr>
                          <w:color w:val="auto"/>
                        </w:rPr>
                      </w:pPr>
                      <w:r>
                        <w:rPr>
                          <w:color w:val="auto"/>
                        </w:rPr>
                      </w:r>
                    </w:p>
                  </w:txbxContent>
                </v:textbox>
              </v:rect>
            </w:pict>
          </mc:Fallback>
        </mc:AlternateContent>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 w:val="26"/>
          <w:szCs w:val="26"/>
        </w:rPr>
      </w:pPr>
      <w:r>
        <w:rPr>
          <w:b/>
          <w:sz w:val="26"/>
          <w:szCs w:val="26"/>
        </w:rPr>
      </w:r>
    </w:p>
    <w:p>
      <w:pPr>
        <w:pStyle w:val="Normal"/>
        <w:jc w:val="both"/>
        <w:rPr>
          <w:b/>
          <w:b/>
          <w:szCs w:val="24"/>
        </w:rPr>
      </w:pPr>
      <w:r>
        <w:rPr>
          <w:b/>
          <w:szCs w:val="24"/>
        </w:rPr>
      </w:r>
    </w:p>
    <w:p>
      <w:pPr>
        <w:pStyle w:val="ListParagraph"/>
        <w:numPr>
          <w:ilvl w:val="0"/>
          <w:numId w:val="5"/>
        </w:numPr>
        <w:jc w:val="both"/>
        <w:rPr>
          <w:szCs w:val="24"/>
        </w:rPr>
      </w:pPr>
      <w:r>
        <w:rPr>
          <w:b/>
          <w:szCs w:val="24"/>
        </w:rPr>
        <w:t>Osoby zwolnione w 2021 roku według działalności EKD.</w:t>
      </w:r>
    </w:p>
    <w:p>
      <w:pPr>
        <w:pStyle w:val="BodyText3"/>
        <w:spacing w:lineRule="auto" w:line="276" w:before="0" w:after="0"/>
        <w:ind w:left="142" w:firstLine="218"/>
        <w:jc w:val="both"/>
        <w:rPr>
          <w:sz w:val="24"/>
          <w:szCs w:val="24"/>
        </w:rPr>
      </w:pPr>
      <w:r>
        <w:rPr>
          <w:sz w:val="28"/>
          <w:szCs w:val="28"/>
        </w:rPr>
        <w:br/>
      </w:r>
      <w:r>
        <w:rPr>
          <w:sz w:val="24"/>
          <w:szCs w:val="24"/>
        </w:rPr>
        <w:t>Biorąc pod uwagę rok 2020 wśród bezrobotnych pozostających w rejestrze Urzędu Pracy</w:t>
        <w:br/>
        <w:t>najwięcej zwolnionych zostało m.in. (według działalności EKD) z sekcji:</w:t>
      </w:r>
    </w:p>
    <w:p>
      <w:pPr>
        <w:pStyle w:val="Normal"/>
        <w:ind w:left="360" w:hanging="0"/>
        <w:jc w:val="both"/>
        <w:rPr>
          <w:szCs w:val="24"/>
        </w:rPr>
      </w:pPr>
      <w:r>
        <w:rPr>
          <w:szCs w:val="24"/>
        </w:rPr>
      </w:r>
    </w:p>
    <w:p>
      <w:pPr>
        <w:pStyle w:val="Normal"/>
        <w:widowControl/>
        <w:numPr>
          <w:ilvl w:val="0"/>
          <w:numId w:val="4"/>
        </w:numPr>
        <w:suppressAutoHyphens w:val="false"/>
        <w:spacing w:lineRule="auto" w:line="276"/>
        <w:ind w:left="426" w:hanging="284"/>
        <w:jc w:val="both"/>
        <w:rPr>
          <w:szCs w:val="24"/>
        </w:rPr>
      </w:pPr>
      <w:r>
        <w:rPr>
          <w:szCs w:val="24"/>
        </w:rPr>
        <w:t>Handel hurtowy i detaliczny</w:t>
        <w:tab/>
        <w:tab/>
        <w:tab/>
        <w:tab/>
        <w:t xml:space="preserve">– 388 osób, </w:t>
      </w:r>
    </w:p>
    <w:p>
      <w:pPr>
        <w:pStyle w:val="Normal"/>
        <w:widowControl/>
        <w:numPr>
          <w:ilvl w:val="0"/>
          <w:numId w:val="4"/>
        </w:numPr>
        <w:suppressAutoHyphens w:val="false"/>
        <w:spacing w:lineRule="auto" w:line="276"/>
        <w:ind w:left="426" w:hanging="284"/>
        <w:jc w:val="both"/>
        <w:rPr>
          <w:szCs w:val="24"/>
        </w:rPr>
      </w:pPr>
      <w:r>
        <w:rPr>
          <w:szCs w:val="24"/>
        </w:rPr>
        <w:t xml:space="preserve">Działalność w zakresie usług administrowania </w:t>
        <w:tab/>
        <w:tab/>
        <w:t>– 307 osób,</w:t>
      </w:r>
    </w:p>
    <w:p>
      <w:pPr>
        <w:pStyle w:val="Normal"/>
        <w:widowControl/>
        <w:numPr>
          <w:ilvl w:val="0"/>
          <w:numId w:val="4"/>
        </w:numPr>
        <w:suppressAutoHyphens w:val="false"/>
        <w:spacing w:lineRule="auto" w:line="276"/>
        <w:ind w:left="426" w:hanging="284"/>
        <w:jc w:val="both"/>
        <w:rPr>
          <w:szCs w:val="24"/>
        </w:rPr>
      </w:pPr>
      <w:r>
        <w:rPr>
          <w:szCs w:val="24"/>
        </w:rPr>
        <w:t xml:space="preserve">Przetwórstwo przemysłowe                                         </w:t>
        <w:tab/>
        <w:t xml:space="preserve">– 283 osoby, </w:t>
      </w:r>
    </w:p>
    <w:p>
      <w:pPr>
        <w:pStyle w:val="Normal"/>
        <w:widowControl/>
        <w:numPr>
          <w:ilvl w:val="0"/>
          <w:numId w:val="4"/>
        </w:numPr>
        <w:suppressAutoHyphens w:val="false"/>
        <w:spacing w:lineRule="auto" w:line="276"/>
        <w:ind w:left="426" w:hanging="284"/>
        <w:jc w:val="both"/>
        <w:rPr>
          <w:szCs w:val="24"/>
        </w:rPr>
      </w:pPr>
      <w:r>
        <w:rPr>
          <w:szCs w:val="24"/>
        </w:rPr>
        <w:t xml:space="preserve">Budownictwo                                                 </w:t>
        <w:tab/>
        <w:tab/>
        <w:t>– 167 osób,</w:t>
      </w:r>
    </w:p>
    <w:p>
      <w:pPr>
        <w:pStyle w:val="Normal"/>
        <w:widowControl/>
        <w:numPr>
          <w:ilvl w:val="0"/>
          <w:numId w:val="4"/>
        </w:numPr>
        <w:suppressAutoHyphens w:val="false"/>
        <w:spacing w:lineRule="auto" w:line="276"/>
        <w:ind w:left="426" w:hanging="284"/>
        <w:jc w:val="both"/>
        <w:rPr>
          <w:szCs w:val="24"/>
        </w:rPr>
      </w:pPr>
      <w:r>
        <w:rPr>
          <w:szCs w:val="24"/>
        </w:rPr>
        <w:t xml:space="preserve">Pozostała działalność usługowa </w:t>
        <w:tab/>
        <w:tab/>
        <w:tab/>
        <w:tab/>
        <w:t>– 164 osoby.</w:t>
      </w:r>
    </w:p>
    <w:p>
      <w:pPr>
        <w:pStyle w:val="Normal"/>
        <w:ind w:left="720" w:hanging="0"/>
        <w:jc w:val="both"/>
        <w:rPr>
          <w:szCs w:val="24"/>
        </w:rPr>
      </w:pPr>
      <w:r>
        <w:rPr>
          <w:szCs w:val="24"/>
        </w:rPr>
      </w:r>
    </w:p>
    <w:p>
      <w:pPr>
        <w:pStyle w:val="Normal"/>
        <w:jc w:val="both"/>
        <w:rPr>
          <w:szCs w:val="24"/>
        </w:rPr>
      </w:pPr>
      <w:r>
        <w:rPr>
          <w:szCs w:val="24"/>
        </w:rPr>
        <w:t xml:space="preserve">  </w:t>
      </w:r>
      <w:r>
        <w:rPr>
          <w:szCs w:val="24"/>
        </w:rPr>
        <w:t>Analogicznie w roku 2020 rejestr zwolnionych kształtował się następująco:</w:t>
      </w:r>
    </w:p>
    <w:p>
      <w:pPr>
        <w:pStyle w:val="Normal"/>
        <w:rPr>
          <w:rFonts w:eastAsia="Times New Roman"/>
          <w:color w:val="000000"/>
          <w:sz w:val="18"/>
          <w:szCs w:val="18"/>
        </w:rPr>
      </w:pPr>
      <w:r>
        <w:rPr>
          <w:rFonts w:eastAsia="Times New Roman"/>
          <w:color w:val="000000"/>
          <w:sz w:val="18"/>
          <w:szCs w:val="18"/>
        </w:rPr>
      </w:r>
    </w:p>
    <w:p>
      <w:pPr>
        <w:pStyle w:val="Normal"/>
        <w:rPr>
          <w:rFonts w:eastAsia="Times New Roman"/>
          <w:color w:val="000000"/>
          <w:sz w:val="18"/>
          <w:szCs w:val="18"/>
        </w:rPr>
      </w:pPr>
      <w:r>
        <w:rPr>
          <w:rFonts w:eastAsia="Times New Roman"/>
          <w:color w:val="000000"/>
          <w:sz w:val="18"/>
          <w:szCs w:val="18"/>
        </w:rPr>
      </w:r>
    </w:p>
    <w:p>
      <w:pPr>
        <w:pStyle w:val="Normal"/>
        <w:widowControl/>
        <w:numPr>
          <w:ilvl w:val="0"/>
          <w:numId w:val="4"/>
        </w:numPr>
        <w:suppressAutoHyphens w:val="false"/>
        <w:spacing w:lineRule="auto" w:line="276"/>
        <w:ind w:left="426" w:hanging="284"/>
        <w:jc w:val="both"/>
        <w:rPr>
          <w:szCs w:val="24"/>
        </w:rPr>
      </w:pPr>
      <w:r>
        <w:rPr>
          <w:szCs w:val="24"/>
        </w:rPr>
        <w:t>Handel hurtowy i detaliczny</w:t>
        <w:tab/>
        <w:tab/>
        <w:tab/>
        <w:tab/>
        <w:t xml:space="preserve">– 388 osób, </w:t>
      </w:r>
    </w:p>
    <w:p>
      <w:pPr>
        <w:pStyle w:val="Normal"/>
        <w:widowControl/>
        <w:numPr>
          <w:ilvl w:val="0"/>
          <w:numId w:val="4"/>
        </w:numPr>
        <w:suppressAutoHyphens w:val="false"/>
        <w:spacing w:lineRule="auto" w:line="276"/>
        <w:ind w:left="426" w:hanging="284"/>
        <w:jc w:val="both"/>
        <w:rPr>
          <w:szCs w:val="24"/>
        </w:rPr>
      </w:pPr>
      <w:r>
        <w:rPr>
          <w:szCs w:val="24"/>
        </w:rPr>
        <w:t xml:space="preserve">Działalność w zakresie usług administrowania </w:t>
        <w:tab/>
        <w:tab/>
        <w:t>– 307 osób,</w:t>
      </w:r>
    </w:p>
    <w:p>
      <w:pPr>
        <w:pStyle w:val="Normal"/>
        <w:widowControl/>
        <w:numPr>
          <w:ilvl w:val="0"/>
          <w:numId w:val="4"/>
        </w:numPr>
        <w:suppressAutoHyphens w:val="false"/>
        <w:spacing w:lineRule="auto" w:line="276"/>
        <w:ind w:left="426" w:hanging="284"/>
        <w:jc w:val="both"/>
        <w:rPr>
          <w:szCs w:val="24"/>
        </w:rPr>
      </w:pPr>
      <w:r>
        <w:rPr>
          <w:szCs w:val="24"/>
        </w:rPr>
        <w:t xml:space="preserve">Przetwórstwo przemysłowe                                         </w:t>
        <w:tab/>
        <w:t xml:space="preserve">– 283 osoby, </w:t>
      </w:r>
    </w:p>
    <w:p>
      <w:pPr>
        <w:pStyle w:val="Normal"/>
        <w:widowControl/>
        <w:numPr>
          <w:ilvl w:val="0"/>
          <w:numId w:val="4"/>
        </w:numPr>
        <w:suppressAutoHyphens w:val="false"/>
        <w:spacing w:lineRule="auto" w:line="276"/>
        <w:ind w:left="426" w:hanging="284"/>
        <w:jc w:val="both"/>
        <w:rPr>
          <w:szCs w:val="24"/>
        </w:rPr>
      </w:pPr>
      <w:r>
        <w:rPr>
          <w:szCs w:val="24"/>
        </w:rPr>
        <w:t xml:space="preserve">Budownictwo                                                 </w:t>
        <w:tab/>
        <w:tab/>
        <w:t>– 167 osób,</w:t>
      </w:r>
    </w:p>
    <w:p>
      <w:pPr>
        <w:pStyle w:val="Normal"/>
        <w:widowControl/>
        <w:numPr>
          <w:ilvl w:val="0"/>
          <w:numId w:val="4"/>
        </w:numPr>
        <w:suppressAutoHyphens w:val="false"/>
        <w:spacing w:lineRule="auto" w:line="276"/>
        <w:ind w:left="426" w:hanging="284"/>
        <w:jc w:val="both"/>
        <w:rPr>
          <w:szCs w:val="24"/>
        </w:rPr>
      </w:pPr>
      <w:r>
        <w:rPr>
          <w:szCs w:val="24"/>
        </w:rPr>
        <w:t xml:space="preserve">Pozostała działalność usługowa </w:t>
        <w:tab/>
        <w:tab/>
        <w:tab/>
        <w:tab/>
        <w:t>– 164 osoby.</w:t>
      </w:r>
    </w:p>
    <w:p>
      <w:pPr>
        <w:pStyle w:val="Normal"/>
        <w:ind w:left="426" w:hanging="284"/>
        <w:rPr>
          <w:rFonts w:eastAsia="Times New Roman"/>
          <w:color w:val="000000"/>
          <w:sz w:val="18"/>
          <w:szCs w:val="18"/>
        </w:rPr>
      </w:pPr>
      <w:r>
        <w:rPr>
          <w:rFonts w:eastAsia="Times New Roman"/>
          <w:color w:val="000000"/>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pStyle w:val="Normal"/>
        <w:rPr>
          <w:rFonts w:eastAsia="Times New Roman"/>
          <w:sz w:val="18"/>
          <w:szCs w:val="18"/>
        </w:rPr>
      </w:pPr>
      <w:r>
        <w:rPr>
          <w:rFonts w:eastAsia="Times New Roman"/>
          <w:sz w:val="18"/>
          <w:szCs w:val="18"/>
        </w:rPr>
      </w:r>
    </w:p>
    <w:p>
      <w:pPr>
        <w:sectPr>
          <w:headerReference w:type="default" r:id="rId14"/>
          <w:footerReference w:type="default" r:id="rId15"/>
          <w:type w:val="nextPage"/>
          <w:pgSz w:w="11906" w:h="16838"/>
          <w:pgMar w:left="1417" w:right="1417" w:header="709" w:top="1417" w:footer="709" w:bottom="1417" w:gutter="0"/>
          <w:pgNumType w:fmt="decimal"/>
          <w:formProt w:val="false"/>
          <w:textDirection w:val="lrTb"/>
          <w:docGrid w:type="default" w:linePitch="326" w:charSpace="0"/>
        </w:sectPr>
        <w:pStyle w:val="Normal"/>
        <w:rPr>
          <w:rFonts w:eastAsia="Times New Roman"/>
          <w:sz w:val="18"/>
          <w:szCs w:val="18"/>
        </w:rPr>
      </w:pPr>
      <w:r>
        <w:rPr>
          <w:rFonts w:eastAsia="Times New Roman"/>
          <w:sz w:val="18"/>
          <w:szCs w:val="18"/>
        </w:rPr>
      </w:r>
    </w:p>
    <w:p>
      <w:pPr>
        <w:pStyle w:val="Normal"/>
        <w:rPr/>
      </w:pPr>
      <w:r>
        <w:rPr/>
      </w:r>
    </w:p>
    <w:tbl>
      <w:tblPr>
        <w:tblW w:w="5000" w:type="pct"/>
        <w:jc w:val="left"/>
        <w:tblInd w:w="0" w:type="dxa"/>
        <w:tblBorders>
          <w:top w:val="single" w:sz="4" w:space="0" w:color="000001"/>
          <w:left w:val="single" w:sz="4" w:space="0" w:color="000001"/>
          <w:right w:val="single" w:sz="4" w:space="0" w:color="000001"/>
          <w:insideV w:val="single" w:sz="4" w:space="0" w:color="000001"/>
        </w:tblBorders>
        <w:tblCellMar>
          <w:top w:w="0" w:type="dxa"/>
          <w:left w:w="65" w:type="dxa"/>
          <w:bottom w:w="0" w:type="dxa"/>
          <w:right w:w="70" w:type="dxa"/>
        </w:tblCellMar>
        <w:tblLook w:firstRow="1" w:noVBand="1" w:lastRow="0" w:firstColumn="1" w:lastColumn="0" w:noHBand="0" w:val="04a0"/>
      </w:tblPr>
      <w:tblGrid>
        <w:gridCol w:w="1476"/>
        <w:gridCol w:w="317"/>
        <w:gridCol w:w="213"/>
        <w:gridCol w:w="679"/>
        <w:gridCol w:w="966"/>
        <w:gridCol w:w="780"/>
        <w:gridCol w:w="679"/>
        <w:gridCol w:w="966"/>
        <w:gridCol w:w="939"/>
        <w:gridCol w:w="762"/>
        <w:gridCol w:w="316"/>
        <w:gridCol w:w="410"/>
        <w:gridCol w:w="568"/>
      </w:tblGrid>
      <w:tr>
        <w:trPr>
          <w:trHeight w:val="360" w:hRule="atLeast"/>
        </w:trPr>
        <w:tc>
          <w:tcPr>
            <w:tcW w:w="2006" w:type="dxa"/>
            <w:gridSpan w:val="3"/>
            <w:tcBorders>
              <w:top w:val="single" w:sz="4" w:space="0" w:color="000001"/>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7065" w:type="dxa"/>
            <w:gridSpan w:val="10"/>
            <w:tcBorders>
              <w:top w:val="single" w:sz="4" w:space="0" w:color="000001"/>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Zarejestrowani bezrobotni </w:t>
            </w:r>
          </w:p>
        </w:tc>
      </w:tr>
      <w:tr>
        <w:trPr>
          <w:trHeight w:val="180" w:hRule="atLeast"/>
        </w:trPr>
        <w:tc>
          <w:tcPr>
            <w:tcW w:w="2006" w:type="dxa"/>
            <w:gridSpan w:val="3"/>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Wyszczególnienie </w:t>
            </w:r>
          </w:p>
        </w:tc>
        <w:tc>
          <w:tcPr>
            <w:tcW w:w="2425" w:type="dxa"/>
            <w:gridSpan w:val="3"/>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w okresie sprawozdawczym </w:t>
            </w:r>
          </w:p>
        </w:tc>
        <w:tc>
          <w:tcPr>
            <w:tcW w:w="4640" w:type="dxa"/>
            <w:gridSpan w:val="7"/>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w końcu okresu sprawozdawczego </w:t>
            </w:r>
          </w:p>
        </w:tc>
      </w:tr>
      <w:tr>
        <w:trPr>
          <w:trHeight w:val="720" w:hRule="atLeast"/>
        </w:trPr>
        <w:tc>
          <w:tcPr>
            <w:tcW w:w="2006" w:type="dxa"/>
            <w:gridSpan w:val="3"/>
            <w:tcBorders>
              <w:left w:val="single" w:sz="4" w:space="0" w:color="000001"/>
              <w:right w:val="single" w:sz="4" w:space="0" w:color="000001"/>
              <w:insideV w:val="single" w:sz="4" w:space="0" w:color="000001"/>
            </w:tcBorders>
            <w:shd w:color="000000" w:fill="FFFFFF" w:val="clear"/>
            <w:tcMar>
              <w:left w:w="65" w:type="dxa"/>
            </w:tcMa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r - razem </w:t>
              <w:br/>
              <w:t xml:space="preserve">k - kobiety </w:t>
            </w:r>
          </w:p>
        </w:tc>
        <w:tc>
          <w:tcPr>
            <w:tcW w:w="679"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ogółem </w:t>
            </w:r>
          </w:p>
        </w:tc>
        <w:tc>
          <w:tcPr>
            <w:tcW w:w="966" w:type="dxa"/>
            <w:tcBorders>
              <w:right w:val="single" w:sz="4" w:space="0" w:color="000001"/>
              <w:insideV w:val="single" w:sz="4" w:space="0" w:color="000001"/>
            </w:tcBorders>
            <w:shd w:color="000000" w:fill="FFFFFF" w:val="clear"/>
            <w:vAlign w:val="bottom"/>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pracujący </w:t>
              <w:br/>
              <w:t xml:space="preserve">poprzednio </w:t>
            </w:r>
          </w:p>
        </w:tc>
        <w:tc>
          <w:tcPr>
            <w:tcW w:w="780" w:type="dxa"/>
            <w:tcBorders/>
            <w:shd w:color="000000" w:fill="FFFFFF" w:val="clear"/>
            <w:vAlign w:val="bottom"/>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ze zwolnień </w:t>
              <w:br/>
              <w:t xml:space="preserve">dotyczą- </w:t>
            </w:r>
          </w:p>
        </w:tc>
        <w:tc>
          <w:tcPr>
            <w:tcW w:w="679"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ogółem </w:t>
            </w:r>
          </w:p>
        </w:tc>
        <w:tc>
          <w:tcPr>
            <w:tcW w:w="1905" w:type="dxa"/>
            <w:gridSpan w:val="2"/>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pracujący poprzednio </w:t>
              <w:br/>
              <w:t xml:space="preserve">w sektorze </w:t>
            </w:r>
          </w:p>
        </w:tc>
        <w:tc>
          <w:tcPr>
            <w:tcW w:w="762" w:type="dxa"/>
            <w:tcBorders>
              <w:right w:val="single" w:sz="4" w:space="0" w:color="000001"/>
              <w:insideV w:val="single" w:sz="4" w:space="0" w:color="000001"/>
            </w:tcBorders>
            <w:shd w:color="000000" w:fill="FFFFFF" w:val="clear"/>
            <w:vAlign w:val="bottom"/>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ze zwol. dotyczą- </w:t>
              <w:br/>
              <w:t xml:space="preserve">cych </w:t>
            </w:r>
          </w:p>
        </w:tc>
        <w:tc>
          <w:tcPr>
            <w:tcW w:w="1294" w:type="dxa"/>
            <w:gridSpan w:val="3"/>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według czasu pozostawania </w:t>
              <w:br/>
              <w:t xml:space="preserve">bez pracy w miesiącach </w:t>
            </w:r>
          </w:p>
        </w:tc>
      </w:tr>
      <w:tr>
        <w:trPr>
          <w:trHeight w:val="540" w:hRule="atLeast"/>
        </w:trPr>
        <w:tc>
          <w:tcPr>
            <w:tcW w:w="2006" w:type="dxa"/>
            <w:gridSpan w:val="3"/>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w sektorze </w:t>
              <w:br/>
              <w:t xml:space="preserve">publicznym </w:t>
            </w:r>
          </w:p>
        </w:tc>
        <w:tc>
          <w:tcPr>
            <w:tcW w:w="780" w:type="dxa"/>
            <w:tcBorders>
              <w:bottom w:val="single" w:sz="4" w:space="0" w:color="000001"/>
              <w:insideH w:val="single" w:sz="4" w:space="0" w:color="000001"/>
            </w:tcBorders>
            <w:shd w:color="000000" w:fill="FFFFFF" w:val="clea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cych zakła- </w:t>
              <w:br/>
              <w:t xml:space="preserve">du pracy </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publicznym </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prywatnym</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zakładu </w:t>
              <w:br/>
              <w:t xml:space="preserve">pracy </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do 1 </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1 - 12 </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pow. 12 </w:t>
            </w:r>
          </w:p>
        </w:tc>
      </w:tr>
      <w:tr>
        <w:trPr>
          <w:trHeight w:val="180" w:hRule="atLeast"/>
        </w:trPr>
        <w:tc>
          <w:tcPr>
            <w:tcW w:w="2006" w:type="dxa"/>
            <w:gridSpan w:val="3"/>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0 </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1 </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2 </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3 </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4 </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5 </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6 </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7 </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8 </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9 </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xml:space="preserve">10 </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Rolnictwo, leśnictwo,</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01</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łowiectwo i rybactwo</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Górnictwo i wydobywanie</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02</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33</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Przetwórstwo przemysłowe</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03</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276</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438</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429</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47</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210</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110</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191</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17</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96</w:t>
            </w:r>
          </w:p>
        </w:tc>
      </w:tr>
      <w:tr>
        <w:trPr>
          <w:trHeight w:val="402"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Wytwarz. i zaopatr. w energię elektr., gaz, parę wodną,</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04</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r>
      <w:tr>
        <w:trPr>
          <w:trHeight w:val="402"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gorącą wodę i powietrze do</w:t>
              <w:br/>
              <w:t>układów klimatyzacyjnych</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r>
      <w:tr>
        <w:trPr>
          <w:trHeight w:val="402"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Dostawa wody; gospoda-</w:t>
              <w:br/>
              <w:t>rowanie ściekami i odpadami</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05</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36</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34</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w:t>
            </w:r>
          </w:p>
        </w:tc>
      </w:tr>
      <w:tr>
        <w:trPr>
          <w:trHeight w:val="402"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oraz działalność związana</w:t>
              <w:br/>
              <w:t>z rekultywacją</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Budownictwo</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06</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279</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264</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102</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146</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28</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26</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13</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13</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Handel hurt. i detal.; naprawa</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07</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338</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518</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513</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40</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257</w:t>
            </w:r>
          </w:p>
        </w:tc>
      </w:tr>
      <w:tr>
        <w:trPr>
          <w:trHeight w:val="402"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pojazdów samochod.,</w:t>
              <w:br/>
              <w:t>włączając motocykle</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223</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346</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342</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27</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168</w:t>
            </w:r>
          </w:p>
        </w:tc>
      </w:tr>
      <w:tr>
        <w:trPr>
          <w:trHeight w:val="402"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 związana</w:t>
              <w:br/>
              <w:t>z zakwaterowaniem</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08</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58</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91</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40</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43</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i usługami gastronomicznymi</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43</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69</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34</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Transport i gospodarka</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09</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126</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181</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78</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94</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magazynowa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56</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69</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68</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30</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35</w:t>
            </w:r>
          </w:p>
        </w:tc>
      </w:tr>
      <w:tr>
        <w:trPr>
          <w:trHeight w:val="199" w:hRule="atLeast"/>
        </w:trPr>
        <w:tc>
          <w:tcPr>
            <w:tcW w:w="1476"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Informacja</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24</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16</w:t>
            </w:r>
          </w:p>
        </w:tc>
      </w:tr>
      <w:tr>
        <w:trPr>
          <w:trHeight w:val="199" w:hRule="atLeast"/>
        </w:trPr>
        <w:tc>
          <w:tcPr>
            <w:tcW w:w="1476"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i komunikacja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67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80"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79"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w:t>
            </w:r>
          </w:p>
        </w:tc>
        <w:tc>
          <w:tcPr>
            <w:tcW w:w="96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39"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w:t>
            </w:r>
          </w:p>
        </w:tc>
        <w:tc>
          <w:tcPr>
            <w:tcW w:w="76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316"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41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56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w:t>
            </w:r>
          </w:p>
        </w:tc>
      </w:tr>
    </w:tbl>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tbl>
      <w:tblPr>
        <w:tblW w:w="5000" w:type="pct"/>
        <w:jc w:val="left"/>
        <w:tblInd w:w="0" w:type="dxa"/>
        <w:tblBorders>
          <w:top w:val="single" w:sz="4" w:space="0" w:color="00000A"/>
          <w:left w:val="single" w:sz="4" w:space="0" w:color="000001"/>
          <w:right w:val="single" w:sz="4" w:space="0" w:color="000001"/>
          <w:insideV w:val="single" w:sz="4" w:space="0" w:color="000001"/>
        </w:tblBorders>
        <w:tblCellMar>
          <w:top w:w="0" w:type="dxa"/>
          <w:left w:w="65" w:type="dxa"/>
          <w:bottom w:w="0" w:type="dxa"/>
          <w:right w:w="70" w:type="dxa"/>
        </w:tblCellMar>
        <w:tblLook w:firstRow="1" w:noVBand="1" w:lastRow="0" w:firstColumn="1" w:lastColumn="0" w:noHBand="0" w:val="04a0"/>
      </w:tblPr>
      <w:tblGrid>
        <w:gridCol w:w="1730"/>
        <w:gridCol w:w="317"/>
        <w:gridCol w:w="278"/>
        <w:gridCol w:w="542"/>
        <w:gridCol w:w="737"/>
        <w:gridCol w:w="637"/>
        <w:gridCol w:w="542"/>
        <w:gridCol w:w="737"/>
        <w:gridCol w:w="713"/>
        <w:gridCol w:w="635"/>
        <w:gridCol w:w="492"/>
        <w:gridCol w:w="921"/>
        <w:gridCol w:w="790"/>
      </w:tblGrid>
      <w:tr>
        <w:trPr>
          <w:trHeight w:val="199" w:hRule="atLeast"/>
        </w:trPr>
        <w:tc>
          <w:tcPr>
            <w:tcW w:w="1730" w:type="dxa"/>
            <w:tcBorders>
              <w:top w:val="single" w:sz="4" w:space="0" w:color="00000A"/>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 finansowa</w:t>
            </w:r>
          </w:p>
        </w:tc>
        <w:tc>
          <w:tcPr>
            <w:tcW w:w="317" w:type="dxa"/>
            <w:tcBorders>
              <w:top w:val="single" w:sz="4" w:space="0" w:color="00000A"/>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w:t>
            </w:r>
          </w:p>
        </w:tc>
        <w:tc>
          <w:tcPr>
            <w:tcW w:w="278"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40</w:t>
            </w:r>
          </w:p>
        </w:tc>
        <w:tc>
          <w:tcPr>
            <w:tcW w:w="737"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637" w:type="dxa"/>
            <w:tcBorders>
              <w:top w:val="single" w:sz="4" w:space="0" w:color="00000A"/>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542" w:type="dxa"/>
            <w:tcBorders>
              <w:top w:val="single" w:sz="4" w:space="0" w:color="00000A"/>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50</w:t>
            </w:r>
          </w:p>
        </w:tc>
        <w:tc>
          <w:tcPr>
            <w:tcW w:w="737"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713"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47</w:t>
            </w:r>
          </w:p>
        </w:tc>
        <w:tc>
          <w:tcPr>
            <w:tcW w:w="635"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w:t>
            </w:r>
          </w:p>
        </w:tc>
        <w:tc>
          <w:tcPr>
            <w:tcW w:w="492"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921"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w:t>
            </w:r>
          </w:p>
        </w:tc>
        <w:tc>
          <w:tcPr>
            <w:tcW w:w="790" w:type="dxa"/>
            <w:tcBorders>
              <w:top w:val="single" w:sz="4" w:space="0" w:color="00000A"/>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i ubezpieczeniowa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38</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36</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20</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16</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 związana z</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34</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52</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32</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41</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obsługą rynku nieruchomości</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36</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28</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24</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 profesjonalna,</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13</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108</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41</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60</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naukowa i techniczna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59</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28</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27</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 w zakresie</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295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415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390</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189</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186</w:t>
            </w:r>
          </w:p>
        </w:tc>
      </w:tr>
      <w:tr>
        <w:trPr>
          <w:trHeight w:val="402"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usług administrowania</w:t>
              <w:br/>
              <w:t>i działalność wspierająca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220</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96</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110</w:t>
            </w:r>
          </w:p>
        </w:tc>
      </w:tr>
      <w:tr>
        <w:trPr>
          <w:trHeight w:val="402"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Administracja publiczna</w:t>
              <w:br/>
              <w:t>i obrona narodowa;</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13</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26</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26</w:t>
            </w:r>
          </w:p>
        </w:tc>
      </w:tr>
      <w:tr>
        <w:trPr>
          <w:trHeight w:val="402"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obowiązkowe zabezpieczenia społeczne</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27</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Edukacja</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16</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61</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68</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37</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33</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46</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24</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Opieka zdrowotna i pomoc</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17</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98</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51</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47</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39</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51</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społeczna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35</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44</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29</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43</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 związana z kul-</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turą, rozrywką i rekreacją</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Pozostała działalność</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144</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312</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124</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174</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usługowa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147</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16</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53</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80</w:t>
            </w:r>
          </w:p>
        </w:tc>
      </w:tr>
      <w:tr>
        <w:trPr>
          <w:trHeight w:val="61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Gospodarstwa domowe</w:t>
              <w:br/>
              <w:t>zatrudniające pracowników;</w:t>
              <w:br/>
              <w:t>gospodarstwa domowe</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20</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r>
      <w:tr>
        <w:trPr>
          <w:trHeight w:val="61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produkujące wyroby</w:t>
              <w:br/>
              <w:t>i świadczące usługi</w:t>
              <w:br/>
              <w:t>na własne potrzeby</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Organizacje i zespoły</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eksterytorialne</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0</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Działalność</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654</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796</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11</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85</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390</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321</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niezidentyfikowana</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330</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375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31</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195</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149</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Razem (w. od 01 do 22)</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2383</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101</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53</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3615</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221</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2598</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93</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329</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1559</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1727</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1214</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58</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35</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1786</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106</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1305</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58</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146</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788</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852</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Dotychczas niepracujący</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24</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499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697</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49</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292</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356</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363</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X</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146</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195</w:t>
            </w:r>
          </w:p>
        </w:tc>
      </w:tr>
      <w:tr>
        <w:trPr>
          <w:trHeight w:val="199" w:hRule="atLeast"/>
        </w:trPr>
        <w:tc>
          <w:tcPr>
            <w:tcW w:w="1730" w:type="dxa"/>
            <w:tcBorders>
              <w:left w:val="single" w:sz="4" w:space="0" w:color="000001"/>
              <w:right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Ogółem (w. 23+24)</w:t>
            </w:r>
          </w:p>
        </w:tc>
        <w:tc>
          <w:tcPr>
            <w:tcW w:w="317" w:type="dxa"/>
            <w:tcBorders>
              <w:right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r</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2882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101</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53</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4312</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221</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2598</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93</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378</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1851</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2083</w:t>
            </w:r>
          </w:p>
        </w:tc>
      </w:tr>
      <w:tr>
        <w:trPr>
          <w:trHeight w:val="199" w:hRule="atLeast"/>
        </w:trPr>
        <w:tc>
          <w:tcPr>
            <w:tcW w:w="1730"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rPr>
                <w:rFonts w:ascii="Arial" w:hAnsi="Arial" w:eastAsia="Times New Roman" w:cs="Arial"/>
                <w:color w:val="000000"/>
                <w:sz w:val="18"/>
                <w:szCs w:val="18"/>
              </w:rPr>
            </w:pPr>
            <w:r>
              <w:rPr>
                <w:rFonts w:eastAsia="Times New Roman" w:cs="Arial" w:ascii="Arial" w:hAnsi="Arial"/>
                <w:color w:val="000000"/>
                <w:sz w:val="18"/>
                <w:szCs w:val="18"/>
              </w:rPr>
              <w:t> </w:t>
            </w:r>
          </w:p>
        </w:tc>
        <w:tc>
          <w:tcPr>
            <w:tcW w:w="31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 </w:t>
            </w:r>
          </w:p>
        </w:tc>
        <w:tc>
          <w:tcPr>
            <w:tcW w:w="278"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k</w:t>
            </w:r>
          </w:p>
        </w:tc>
        <w:tc>
          <w:tcPr>
            <w:tcW w:w="54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1443</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58</w:t>
            </w:r>
          </w:p>
        </w:tc>
        <w:tc>
          <w:tcPr>
            <w:tcW w:w="637" w:type="dxa"/>
            <w:tcBorders>
              <w:bottom w:val="single" w:sz="4" w:space="0" w:color="000001"/>
              <w:insideH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35</w:t>
            </w:r>
          </w:p>
        </w:tc>
        <w:tc>
          <w:tcPr>
            <w:tcW w:w="542" w:type="dxa"/>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65" w:type="dxa"/>
            </w:tcM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2149</w:t>
            </w:r>
          </w:p>
        </w:tc>
        <w:tc>
          <w:tcPr>
            <w:tcW w:w="737"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106</w:t>
            </w:r>
          </w:p>
        </w:tc>
        <w:tc>
          <w:tcPr>
            <w:tcW w:w="713"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1305</w:t>
            </w:r>
          </w:p>
        </w:tc>
        <w:tc>
          <w:tcPr>
            <w:tcW w:w="635"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58</w:t>
            </w:r>
          </w:p>
        </w:tc>
        <w:tc>
          <w:tcPr>
            <w:tcW w:w="492"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168</w:t>
            </w:r>
          </w:p>
        </w:tc>
        <w:tc>
          <w:tcPr>
            <w:tcW w:w="921"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934</w:t>
            </w:r>
          </w:p>
        </w:tc>
        <w:tc>
          <w:tcPr>
            <w:tcW w:w="790" w:type="dxa"/>
            <w:tcBorders>
              <w:bottom w:val="single" w:sz="4" w:space="0" w:color="000001"/>
              <w:right w:val="single" w:sz="4" w:space="0" w:color="000001"/>
              <w:insideH w:val="single" w:sz="4" w:space="0" w:color="000001"/>
              <w:insideV w:val="single" w:sz="4" w:space="0" w:color="000001"/>
            </w:tcBorders>
            <w:shd w:color="000000" w:fill="FFFFFF" w:val="clear"/>
            <w:vAlign w:val="center"/>
          </w:tcPr>
          <w:p>
            <w:pPr>
              <w:pStyle w:val="Normal"/>
              <w:jc w:val="center"/>
              <w:rPr>
                <w:rFonts w:ascii="Arial" w:hAnsi="Arial" w:eastAsia="Times New Roman" w:cs="Arial"/>
                <w:color w:val="000000"/>
                <w:sz w:val="18"/>
                <w:szCs w:val="18"/>
              </w:rPr>
            </w:pPr>
            <w:r>
              <w:rPr>
                <w:rFonts w:eastAsia="Times New Roman" w:cs="Arial" w:ascii="Arial" w:hAnsi="Arial"/>
                <w:color w:val="000000"/>
                <w:sz w:val="18"/>
                <w:szCs w:val="18"/>
              </w:rPr>
              <w:t>1047</w:t>
            </w:r>
          </w:p>
        </w:tc>
      </w:tr>
    </w:tbl>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p>
      <w:pPr>
        <w:pStyle w:val="Normal"/>
        <w:rPr>
          <w:rFonts w:eastAsia="Calibri"/>
          <w:bCs/>
          <w:szCs w:val="24"/>
          <w:lang w:eastAsia="en-US"/>
        </w:rPr>
      </w:pPr>
      <w:r>
        <w:rPr>
          <w:rFonts w:eastAsia="Calibri"/>
          <w:bCs/>
          <w:szCs w:val="24"/>
          <w:lang w:eastAsia="en-US"/>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8087"/>
        <w:gridCol w:w="984"/>
      </w:tblGrid>
      <w:tr>
        <w:trPr/>
        <w:tc>
          <w:tcPr>
            <w:tcW w:w="8087" w:type="dxa"/>
            <w:tcBorders>
              <w:top w:val="nil"/>
              <w:left w:val="nil"/>
              <w:bottom w:val="nil"/>
              <w:right w:val="nil"/>
              <w:insideH w:val="nil"/>
              <w:insideV w:val="nil"/>
            </w:tcBorders>
            <w:shd w:fill="auto" w:val="clear"/>
          </w:tcPr>
          <w:p>
            <w:pPr>
              <w:pStyle w:val="Normal"/>
              <w:spacing w:lineRule="auto" w:line="240" w:before="0" w:after="0"/>
              <w:rPr>
                <w:rFonts w:eastAsia="Calibri"/>
                <w:b/>
                <w:b/>
                <w:sz w:val="26"/>
                <w:szCs w:val="26"/>
                <w:lang w:eastAsia="en-US"/>
              </w:rPr>
            </w:pPr>
            <w:r>
              <w:rPr>
                <w:rFonts w:eastAsia="Calibri" w:cs="Times New Roman" w:ascii="Calibri" w:hAnsi="Calibri"/>
                <w:b/>
                <w:sz w:val="26"/>
                <w:szCs w:val="26"/>
              </w:rPr>
              <w:t>Spis tabel:</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eastAsia="Calibri"/>
                <w:b/>
                <w:b/>
                <w:szCs w:val="24"/>
                <w:lang w:eastAsia="en-US"/>
              </w:rPr>
            </w:pPr>
            <w:r>
              <w:rPr>
                <w:rFonts w:eastAsia="Calibri" w:cs="Times New Roman" w:ascii="Calibri" w:hAnsi="Calibri"/>
                <w:b/>
                <w:szCs w:val="24"/>
              </w:rPr>
              <w:t>Numer strony</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Tabela 1. Stan bezrobocia.</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lang w:eastAsia="en-US"/>
              </w:rPr>
              <w:t>2</w:t>
            </w:r>
          </w:p>
        </w:tc>
      </w:tr>
      <w:tr>
        <w:trPr/>
        <w:tc>
          <w:tcPr>
            <w:tcW w:w="8087" w:type="dxa"/>
            <w:tcBorders>
              <w:top w:val="nil"/>
              <w:left w:val="nil"/>
              <w:bottom w:val="nil"/>
              <w:right w:val="nil"/>
              <w:insideH w:val="nil"/>
              <w:insideV w:val="nil"/>
            </w:tcBorders>
            <w:shd w:fill="auto" w:val="clear"/>
          </w:tcPr>
          <w:p>
            <w:pPr>
              <w:pStyle w:val="Footnotetext"/>
              <w:spacing w:lineRule="auto" w:line="240" w:before="0" w:after="0"/>
              <w:jc w:val="both"/>
              <w:rPr>
                <w:rFonts w:ascii="Calibri" w:hAnsi="Calibri" w:eastAsia="Times New Roman" w:cs="Calibri" w:asciiTheme="minorHAnsi" w:cstheme="minorHAnsi" w:hAnsiTheme="minorHAnsi"/>
                <w:sz w:val="24"/>
                <w:szCs w:val="24"/>
              </w:rPr>
            </w:pPr>
            <w:r>
              <w:rPr>
                <w:rFonts w:eastAsia="Calibri" w:cs="Calibri" w:cstheme="minorHAnsi"/>
                <w:sz w:val="24"/>
                <w:szCs w:val="24"/>
              </w:rPr>
              <w:t>Tabela 2. Bezrobotni w szczególnej sytuacji na rynku pracy</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4</w:t>
            </w:r>
          </w:p>
        </w:tc>
      </w:tr>
      <w:tr>
        <w:trPr>
          <w:trHeight w:val="238" w:hRule="atLeast"/>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Tabela 3. Napływ oraz odpływ liczby bezrobotnych</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5</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Tabela 4. Struktura bezrobotnych wg wieku.</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9</w:t>
            </w:r>
          </w:p>
        </w:tc>
      </w:tr>
    </w:tbl>
    <w:p>
      <w:pPr>
        <w:pStyle w:val="Normal"/>
        <w:rPr>
          <w:rFonts w:ascii="Calibri" w:hAnsi="Calibri" w:eastAsia="Calibri" w:cs="Calibri" w:asciiTheme="minorHAnsi" w:cstheme="minorHAnsi" w:hAnsiTheme="minorHAnsi"/>
          <w:szCs w:val="24"/>
          <w:lang w:eastAsia="en-US"/>
        </w:rPr>
      </w:pPr>
      <w:r>
        <w:rPr>
          <w:rFonts w:eastAsia="Calibri" w:cs="Calibri" w:cstheme="minorHAnsi" w:ascii="Calibri" w:hAnsi="Calibri"/>
          <w:szCs w:val="24"/>
          <w:lang w:eastAsia="en-US"/>
        </w:rPr>
      </w:r>
    </w:p>
    <w:p>
      <w:pPr>
        <w:pStyle w:val="Normal"/>
        <w:rPr>
          <w:szCs w:val="24"/>
        </w:rPr>
      </w:pPr>
      <w:r>
        <w:rPr>
          <w:szCs w:val="24"/>
        </w:rPr>
      </w:r>
    </w:p>
    <w:tbl>
      <w:tblPr>
        <w:tblStyle w:val="Tabela-Siatka"/>
        <w:tblW w:w="9072" w:type="dxa"/>
        <w:jc w:val="left"/>
        <w:tblInd w:w="0" w:type="dxa"/>
        <w:tblCellMar>
          <w:top w:w="0" w:type="dxa"/>
          <w:left w:w="108" w:type="dxa"/>
          <w:bottom w:w="0" w:type="dxa"/>
          <w:right w:w="108" w:type="dxa"/>
        </w:tblCellMar>
        <w:tblLook w:firstRow="1" w:noVBand="1" w:lastRow="0" w:firstColumn="1" w:lastColumn="0" w:noHBand="0" w:val="04a0"/>
      </w:tblPr>
      <w:tblGrid>
        <w:gridCol w:w="8087"/>
        <w:gridCol w:w="984"/>
      </w:tblGrid>
      <w:tr>
        <w:trPr/>
        <w:tc>
          <w:tcPr>
            <w:tcW w:w="8087" w:type="dxa"/>
            <w:tcBorders>
              <w:top w:val="nil"/>
              <w:left w:val="nil"/>
              <w:bottom w:val="nil"/>
              <w:right w:val="nil"/>
              <w:insideH w:val="nil"/>
              <w:insideV w:val="nil"/>
            </w:tcBorders>
            <w:shd w:fill="auto" w:val="clear"/>
          </w:tcPr>
          <w:p>
            <w:pPr>
              <w:pStyle w:val="Normal"/>
              <w:spacing w:lineRule="auto" w:line="240" w:before="0" w:after="0"/>
              <w:rPr>
                <w:b/>
                <w:b/>
                <w:sz w:val="26"/>
                <w:szCs w:val="26"/>
              </w:rPr>
            </w:pPr>
            <w:r>
              <w:rPr>
                <w:rFonts w:cs="Times New Roman" w:ascii="Calibri" w:hAnsi="Calibri"/>
                <w:b/>
                <w:sz w:val="26"/>
                <w:szCs w:val="26"/>
              </w:rPr>
              <w:t>Spis wykresów:</w:t>
            </w:r>
          </w:p>
          <w:p>
            <w:pPr>
              <w:pStyle w:val="Normal"/>
              <w:spacing w:lineRule="auto" w:line="240" w:before="0" w:after="0"/>
              <w:rPr>
                <w:rFonts w:ascii="Calibri" w:hAnsi="Calibri" w:eastAsia="Calibri" w:cs="Times New Roman"/>
                <w:b/>
                <w:b/>
                <w:szCs w:val="24"/>
                <w:lang w:eastAsia="en-US"/>
              </w:rPr>
            </w:pPr>
            <w:r>
              <w:rPr>
                <w:rFonts w:eastAsia="Calibri" w:cs="Times New Roman" w:ascii="Calibri" w:hAnsi="Calibri"/>
                <w:b/>
                <w:szCs w:val="24"/>
                <w:lang w:eastAsia="en-US"/>
              </w:rPr>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eastAsia="Calibri"/>
                <w:b/>
                <w:b/>
                <w:szCs w:val="24"/>
                <w:lang w:eastAsia="en-US"/>
              </w:rPr>
            </w:pPr>
            <w:r>
              <w:rPr>
                <w:rFonts w:eastAsia="Calibri" w:cs="Times New Roman" w:ascii="Calibri" w:hAnsi="Calibri"/>
                <w:b/>
                <w:szCs w:val="24"/>
              </w:rPr>
              <w:t>Numer strony</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 xml:space="preserve">Wykres 1. </w:t>
            </w:r>
            <w:r>
              <w:rPr>
                <w:rFonts w:eastAsia="Calibri" w:cs="Calibri" w:ascii="Calibri" w:hAnsi="Calibri" w:asciiTheme="minorHAnsi" w:cstheme="minorHAnsi" w:hAnsiTheme="minorHAnsi"/>
                <w:bCs/>
                <w:szCs w:val="24"/>
              </w:rPr>
              <w:t>Liczba zarejestrowanych bezrobotnych w tys.</w:t>
            </w:r>
            <w:r>
              <w:rPr>
                <w:rFonts w:eastAsia="Calibri" w:cs="Calibri" w:ascii="Calibri" w:hAnsi="Calibri" w:asciiTheme="minorHAnsi" w:cstheme="minorHAnsi" w:hAnsiTheme="minorHAnsi"/>
                <w:szCs w:val="24"/>
              </w:rPr>
              <w:t xml:space="preserve"> </w:t>
            </w:r>
            <w:r>
              <w:rPr>
                <w:rFonts w:eastAsia="Calibri" w:cs="Calibri" w:ascii="Calibri" w:hAnsi="Calibri" w:asciiTheme="minorHAnsi" w:cstheme="minorHAnsi" w:hAnsiTheme="minorHAnsi"/>
                <w:bCs/>
                <w:szCs w:val="24"/>
              </w:rPr>
              <w:t>Stan na koniec kwartału</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lang w:eastAsia="en-US"/>
              </w:rPr>
              <w:t>2</w:t>
            </w:r>
          </w:p>
        </w:tc>
      </w:tr>
      <w:tr>
        <w:trPr/>
        <w:tc>
          <w:tcPr>
            <w:tcW w:w="8087" w:type="dxa"/>
            <w:tcBorders>
              <w:top w:val="nil"/>
              <w:left w:val="nil"/>
              <w:bottom w:val="nil"/>
              <w:right w:val="nil"/>
              <w:insideH w:val="nil"/>
              <w:insideV w:val="nil"/>
            </w:tcBorders>
            <w:shd w:fill="auto" w:val="clear"/>
          </w:tcPr>
          <w:p>
            <w:pPr>
              <w:pStyle w:val="Footnotetext"/>
              <w:spacing w:lineRule="auto" w:line="240" w:before="0" w:after="0"/>
              <w:jc w:val="both"/>
              <w:rPr>
                <w:rFonts w:ascii="Calibri" w:hAnsi="Calibri" w:eastAsia="Times New Roman" w:cs="Calibri" w:asciiTheme="minorHAnsi" w:cstheme="minorHAnsi" w:hAnsiTheme="minorHAnsi"/>
                <w:sz w:val="24"/>
                <w:szCs w:val="24"/>
              </w:rPr>
            </w:pPr>
            <w:r>
              <w:rPr>
                <w:rFonts w:eastAsia="Calibri" w:cs="Calibri" w:cstheme="minorHAnsi"/>
                <w:sz w:val="24"/>
                <w:szCs w:val="24"/>
              </w:rPr>
              <w:t xml:space="preserve">Wykres 2. </w:t>
            </w:r>
            <w:r>
              <w:rPr>
                <w:rFonts w:eastAsia="Calibri" w:cs="Calibri" w:cstheme="minorHAnsi"/>
                <w:bCs/>
                <w:sz w:val="24"/>
                <w:szCs w:val="24"/>
              </w:rPr>
              <w:t>Stopa bezrobocia</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lang w:eastAsia="en-US"/>
              </w:rPr>
              <w:t>3</w:t>
            </w:r>
          </w:p>
        </w:tc>
      </w:tr>
      <w:tr>
        <w:trPr>
          <w:trHeight w:val="238" w:hRule="atLeast"/>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 xml:space="preserve">Wykres 3. </w:t>
            </w:r>
            <w:r>
              <w:rPr>
                <w:rFonts w:eastAsia="Calibri" w:cs="Calibri" w:ascii="Calibri" w:hAnsi="Calibri" w:asciiTheme="minorHAnsi" w:cstheme="minorHAnsi" w:hAnsiTheme="minorHAnsi"/>
                <w:bCs/>
                <w:szCs w:val="24"/>
              </w:rPr>
              <w:t>Liczba osób wyłączonych z tytułu podjęcia pracy</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6</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bCs/>
                <w:szCs w:val="24"/>
              </w:rPr>
              <w:t>Wykres 4.</w:t>
            </w:r>
            <w:r>
              <w:rPr>
                <w:rFonts w:eastAsia="Calibri" w:cs="Calibri" w:ascii="Calibri" w:hAnsi="Calibri" w:asciiTheme="minorHAnsi" w:cstheme="minorHAnsi" w:hAnsiTheme="minorHAnsi"/>
                <w:bCs/>
                <w:color w:val="000000"/>
                <w:kern w:val="2"/>
                <w:szCs w:val="24"/>
              </w:rPr>
              <w:t xml:space="preserve"> </w:t>
            </w:r>
            <w:r>
              <w:rPr>
                <w:rFonts w:eastAsia="Calibri" w:cs="Calibri" w:ascii="Calibri" w:hAnsi="Calibri" w:asciiTheme="minorHAnsi" w:cstheme="minorHAnsi" w:hAnsiTheme="minorHAnsi"/>
                <w:bCs/>
                <w:szCs w:val="24"/>
              </w:rPr>
              <w:t>Bezrobotni ogółem wg poziomu wykształcenia</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7</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bCs/>
                <w:szCs w:val="24"/>
              </w:rPr>
              <w:t>Wykres 5.</w:t>
            </w:r>
            <w:r>
              <w:rPr>
                <w:rFonts w:eastAsia="Calibri" w:cs="Calibri" w:ascii="Calibri" w:hAnsi="Calibri" w:asciiTheme="minorHAnsi" w:cstheme="minorHAnsi" w:hAnsiTheme="minorHAnsi"/>
                <w:bCs/>
                <w:color w:val="000000"/>
                <w:kern w:val="2"/>
                <w:szCs w:val="24"/>
              </w:rPr>
              <w:t xml:space="preserve"> </w:t>
            </w:r>
            <w:r>
              <w:rPr>
                <w:rFonts w:eastAsia="Calibri" w:cs="Calibri" w:ascii="Calibri" w:hAnsi="Calibri" w:asciiTheme="minorHAnsi" w:cstheme="minorHAnsi" w:hAnsiTheme="minorHAnsi"/>
                <w:bCs/>
                <w:szCs w:val="24"/>
              </w:rPr>
              <w:t>Struktura bezrobotnych ogółem wg wykształcenia (%)</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8</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bCs/>
                <w:position w:val="-5"/>
                <w:szCs w:val="24"/>
              </w:rPr>
              <w:t>Wykres 6.</w:t>
            </w:r>
            <w:r>
              <w:rPr>
                <w:rFonts w:eastAsia="Calibri" w:cs="Calibri" w:ascii="Calibri" w:hAnsi="Calibri" w:asciiTheme="minorHAnsi" w:cstheme="minorHAnsi" w:hAnsiTheme="minorHAnsi"/>
                <w:bCs/>
                <w:color w:val="000000"/>
                <w:kern w:val="2"/>
                <w:position w:val="-5"/>
                <w:szCs w:val="24"/>
              </w:rPr>
              <w:t xml:space="preserve"> </w:t>
            </w:r>
            <w:r>
              <w:rPr>
                <w:rFonts w:eastAsia="Calibri" w:cs="Calibri" w:ascii="Calibri" w:hAnsi="Calibri" w:asciiTheme="minorHAnsi" w:cstheme="minorHAnsi" w:hAnsiTheme="minorHAnsi"/>
                <w:bCs/>
                <w:position w:val="-5"/>
                <w:szCs w:val="24"/>
              </w:rPr>
              <w:t xml:space="preserve">Struktura bezrobotnych według wykształcenia i płci w %, stan na </w:t>
              <w:br/>
              <w:t xml:space="preserve">                 31.12.2021 r.</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9</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bCs/>
                <w:position w:val="-5"/>
                <w:szCs w:val="24"/>
              </w:rPr>
              <w:t>Wykres 7.</w:t>
            </w:r>
            <w:r>
              <w:rPr>
                <w:rFonts w:eastAsia="Calibri" w:cs="Calibri" w:ascii="Calibri" w:hAnsi="Calibri" w:asciiTheme="minorHAnsi" w:cstheme="minorHAnsi" w:hAnsiTheme="minorHAnsi"/>
                <w:bCs/>
                <w:color w:val="000000"/>
                <w:kern w:val="2"/>
                <w:position w:val="-5"/>
                <w:szCs w:val="24"/>
              </w:rPr>
              <w:t xml:space="preserve"> </w:t>
            </w:r>
            <w:r>
              <w:rPr>
                <w:rFonts w:eastAsia="Calibri" w:cs="Calibri" w:ascii="Calibri" w:hAnsi="Calibri" w:asciiTheme="minorHAnsi" w:cstheme="minorHAnsi" w:hAnsiTheme="minorHAnsi"/>
                <w:bCs/>
                <w:position w:val="-5"/>
                <w:szCs w:val="24"/>
              </w:rPr>
              <w:t>Struktura bezrobotnych wg wieku, pozostających bez pracy powyżej</w:t>
              <w:br/>
              <w:t xml:space="preserve">                 12 miesięcy</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szCs w:val="24"/>
              </w:rPr>
              <w:t>10</w:t>
            </w:r>
          </w:p>
        </w:tc>
      </w:tr>
      <w:tr>
        <w:trPr/>
        <w:tc>
          <w:tcPr>
            <w:tcW w:w="8087" w:type="dxa"/>
            <w:tcBorders>
              <w:top w:val="nil"/>
              <w:left w:val="nil"/>
              <w:bottom w:val="nil"/>
              <w:right w:val="nil"/>
              <w:insideH w:val="nil"/>
              <w:insideV w:val="nil"/>
            </w:tcBorders>
            <w:shd w:fill="auto" w:val="clear"/>
          </w:tcPr>
          <w:p>
            <w:pPr>
              <w:pStyle w:val="Normal"/>
              <w:spacing w:lineRule="auto" w:line="240" w:before="0" w:after="0"/>
              <w:rPr>
                <w:rFonts w:ascii="Calibri" w:hAnsi="Calibri" w:eastAsia="Calibri" w:cs="Calibri" w:asciiTheme="minorHAnsi" w:cstheme="minorHAnsi" w:hAnsiTheme="minorHAnsi"/>
                <w:szCs w:val="24"/>
                <w:lang w:eastAsia="en-US"/>
              </w:rPr>
            </w:pPr>
            <w:r>
              <w:rPr>
                <w:rFonts w:eastAsia="Calibri" w:cs="Calibri" w:ascii="Calibri" w:hAnsi="Calibri" w:asciiTheme="minorHAnsi" w:cstheme="minorHAnsi" w:hAnsiTheme="minorHAnsi"/>
                <w:bCs/>
                <w:position w:val="-5"/>
                <w:szCs w:val="24"/>
              </w:rPr>
              <w:t>Wykres 8.</w:t>
            </w:r>
            <w:r>
              <w:rPr>
                <w:rFonts w:eastAsia="Calibri" w:cs="Calibri" w:ascii="Calibri" w:hAnsi="Calibri" w:asciiTheme="minorHAnsi" w:cstheme="minorHAnsi" w:hAnsiTheme="minorHAnsi"/>
                <w:bCs/>
                <w:color w:val="000000"/>
                <w:kern w:val="2"/>
                <w:position w:val="-5"/>
                <w:szCs w:val="24"/>
              </w:rPr>
              <w:t xml:space="preserve"> </w:t>
            </w:r>
            <w:r>
              <w:rPr>
                <w:rFonts w:eastAsia="Calibri" w:cs="Calibri" w:ascii="Calibri" w:hAnsi="Calibri" w:asciiTheme="minorHAnsi" w:cstheme="minorHAnsi" w:hAnsiTheme="minorHAnsi"/>
                <w:bCs/>
                <w:position w:val="-5"/>
                <w:szCs w:val="24"/>
              </w:rPr>
              <w:t xml:space="preserve">Struktura bezrobotnych według wykształcenia i czasu pozostawania </w:t>
              <w:br/>
              <w:t xml:space="preserve">                 bez pracy (powyżej 12 miesięcy)</w:t>
            </w:r>
          </w:p>
        </w:tc>
        <w:tc>
          <w:tcPr>
            <w:tcW w:w="984" w:type="dxa"/>
            <w:tcBorders>
              <w:top w:val="nil"/>
              <w:left w:val="nil"/>
              <w:bottom w:val="nil"/>
              <w:right w:val="nil"/>
              <w:insideH w:val="nil"/>
              <w:insideV w:val="nil"/>
            </w:tcBorders>
            <w:shd w:fill="auto" w:val="clear"/>
            <w:vAlign w:val="center"/>
          </w:tcPr>
          <w:p>
            <w:pPr>
              <w:pStyle w:val="Normal"/>
              <w:spacing w:lineRule="auto" w:line="240" w:before="0" w:after="0"/>
              <w:jc w:val="center"/>
              <w:rPr>
                <w:rFonts w:ascii="Calibri" w:hAnsi="Calibri" w:cs="Calibri" w:asciiTheme="minorHAnsi" w:cstheme="minorHAnsi" w:hAnsiTheme="minorHAnsi"/>
                <w:szCs w:val="24"/>
              </w:rPr>
            </w:pPr>
            <w:r>
              <w:rPr>
                <w:rFonts w:cs="Calibri" w:ascii="Calibri" w:hAnsi="Calibri" w:asciiTheme="minorHAnsi" w:cstheme="minorHAnsi" w:hAnsiTheme="minorHAnsi"/>
                <w:szCs w:val="24"/>
              </w:rPr>
              <w:t>11</w:t>
            </w:r>
          </w:p>
          <w:p>
            <w:pPr>
              <w:pStyle w:val="Normal"/>
              <w:spacing w:lineRule="auto" w:line="240" w:before="0" w:after="0"/>
              <w:jc w:val="center"/>
              <w:rPr>
                <w:rFonts w:ascii="Calibri" w:hAnsi="Calibri" w:cs="Calibri" w:asciiTheme="minorHAnsi" w:cstheme="minorHAnsi" w:hAnsiTheme="minorHAnsi"/>
                <w:szCs w:val="24"/>
              </w:rPr>
            </w:pPr>
            <w:r>
              <w:rPr>
                <w:rFonts w:cs="Calibri" w:cstheme="minorHAnsi" w:ascii="Calibri" w:hAnsi="Calibri"/>
                <w:szCs w:val="24"/>
              </w:rPr>
            </w:r>
          </w:p>
          <w:p>
            <w:pPr>
              <w:pStyle w:val="Normal"/>
              <w:spacing w:lineRule="auto" w:line="240" w:before="0" w:after="0"/>
              <w:jc w:val="center"/>
              <w:rPr>
                <w:rFonts w:ascii="Calibri" w:hAnsi="Calibri" w:eastAsia="Calibri" w:cs="Calibri" w:asciiTheme="minorHAnsi" w:cstheme="minorHAnsi" w:hAnsiTheme="minorHAnsi"/>
                <w:szCs w:val="24"/>
                <w:lang w:eastAsia="en-US"/>
              </w:rPr>
            </w:pPr>
            <w:r>
              <w:rPr>
                <w:rFonts w:eastAsia="Calibri" w:cs="Calibri" w:cstheme="minorHAnsi" w:ascii="Calibri" w:hAnsi="Calibri"/>
                <w:szCs w:val="24"/>
                <w:lang w:eastAsia="en-US"/>
              </w:rPr>
            </w:r>
          </w:p>
        </w:tc>
      </w:tr>
    </w:tbl>
    <w:p>
      <w:pPr>
        <w:pStyle w:val="Normal"/>
        <w:rPr>
          <w:rFonts w:ascii="Calibri" w:hAnsi="Calibri" w:cs="Calibri" w:asciiTheme="minorHAnsi" w:cstheme="minorHAnsi" w:hAnsiTheme="minorHAnsi"/>
        </w:rPr>
      </w:pPr>
      <w:r>
        <w:rPr>
          <w:rFonts w:cs="Calibri" w:ascii="Calibri" w:hAnsi="Calibri" w:asciiTheme="minorHAnsi" w:cstheme="minorHAnsi" w:hAnsiTheme="minorHAnsi"/>
        </w:rPr>
        <w:t>Wykres 9. Bezrobotni według stażu pracy</w:t>
        <w:tab/>
        <w:tab/>
        <w:tab/>
        <w:tab/>
        <w:tab/>
        <w:tab/>
        <w:tab/>
        <w:t>12</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b/>
          <w:bCs/>
          <w:sz w:val="52"/>
          <w:szCs w:val="52"/>
        </w:rPr>
        <w:t xml:space="preserve">Środki finansowe przeznaczone na realizację programów na rzecz promocji zatrudnienia, łagodzenia skutków bezrobocia i aktywizacji zawodowej </w:t>
        <w:br/>
        <w:t>w roku 2022</w:t>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Normal"/>
        <w:rPr>
          <w:rFonts w:ascii="Calibri" w:hAnsi="Calibri" w:cs="Calibri" w:asciiTheme="minorHAnsi" w:cstheme="minorHAnsi" w:hAnsiTheme="minorHAnsi"/>
        </w:rPr>
      </w:pPr>
      <w:r>
        <w:rPr>
          <w:rFonts w:cs="Calibri" w:cstheme="minorHAnsi" w:ascii="Calibri" w:hAnsi="Calibri"/>
        </w:rPr>
      </w:r>
    </w:p>
    <w:p>
      <w:pPr>
        <w:pStyle w:val="ListParagraph"/>
        <w:numPr>
          <w:ilvl w:val="0"/>
          <w:numId w:val="23"/>
        </w:numPr>
        <w:spacing w:lineRule="auto" w:line="276"/>
        <w:jc w:val="both"/>
        <w:rPr>
          <w:rFonts w:cs="Calibri"/>
          <w:b/>
          <w:b/>
          <w:sz w:val="28"/>
          <w:szCs w:val="24"/>
        </w:rPr>
      </w:pPr>
      <w:r>
        <w:rPr>
          <w:rFonts w:cs="Calibri"/>
          <w:b/>
          <w:sz w:val="28"/>
          <w:szCs w:val="24"/>
        </w:rPr>
        <w:t>Środki Funduszu Pracy na rok 2022 będące w dyspozycji Urzędu</w:t>
      </w:r>
    </w:p>
    <w:p>
      <w:pPr>
        <w:pStyle w:val="Normal"/>
        <w:ind w:left="900" w:hanging="0"/>
        <w:jc w:val="both"/>
        <w:rPr>
          <w:rFonts w:cs="Calibri"/>
          <w:b/>
          <w:b/>
          <w:szCs w:val="24"/>
        </w:rPr>
      </w:pPr>
      <w:r>
        <w:rPr>
          <w:rFonts w:cs="Calibri"/>
          <w:szCs w:val="24"/>
        </w:rPr>
        <w:t>Minister Rodziny i Polityki Społecznej przyznał</w:t>
      </w:r>
      <w:r>
        <w:rPr>
          <w:rStyle w:val="Zakotwiczenieprzypisudolnego"/>
          <w:rFonts w:cs="Calibri"/>
          <w:szCs w:val="24"/>
        </w:rPr>
        <w:footnoteReference w:id="2"/>
      </w:r>
      <w:r>
        <w:rPr>
          <w:rFonts w:cs="Calibri"/>
          <w:szCs w:val="24"/>
        </w:rPr>
        <w:t xml:space="preserve"> dla Powiatowego Urzędu Pracy w Sosnowcu środki Funduszu Pracy w łącznej kwocie </w:t>
      </w:r>
      <w:r>
        <w:rPr>
          <w:rFonts w:cs="Calibri"/>
          <w:b/>
          <w:szCs w:val="24"/>
        </w:rPr>
        <w:t>18.923.263,46 zł</w:t>
      </w:r>
      <w:r>
        <w:rPr>
          <w:rFonts w:cs="Calibri"/>
          <w:szCs w:val="24"/>
        </w:rPr>
        <w:t>, z przeznaczeniem na:</w:t>
      </w:r>
    </w:p>
    <w:p>
      <w:pPr>
        <w:pStyle w:val="Normal"/>
        <w:numPr>
          <w:ilvl w:val="0"/>
          <w:numId w:val="7"/>
        </w:numPr>
        <w:spacing w:lineRule="auto" w:line="276"/>
        <w:jc w:val="both"/>
        <w:rPr>
          <w:rFonts w:cs="Calibri"/>
          <w:szCs w:val="24"/>
        </w:rPr>
      </w:pPr>
      <w:r>
        <w:rPr>
          <w:rFonts w:cs="Calibri"/>
          <w:szCs w:val="24"/>
        </w:rPr>
        <w:t xml:space="preserve">finansowanie programów na rzecz promocji zatrudnienia, łagodzenia skutków bezrobocia i aktywizacji zawodowej bezrobotnych, w wysokości: </w:t>
      </w:r>
      <w:r>
        <w:rPr>
          <w:rFonts w:cs="Calibri"/>
          <w:b/>
          <w:szCs w:val="24"/>
        </w:rPr>
        <w:t>17.976.972,96 zł</w:t>
      </w:r>
    </w:p>
    <w:p>
      <w:pPr>
        <w:pStyle w:val="Normal"/>
        <w:numPr>
          <w:ilvl w:val="0"/>
          <w:numId w:val="7"/>
        </w:numPr>
        <w:spacing w:lineRule="auto" w:line="276"/>
        <w:jc w:val="both"/>
        <w:rPr>
          <w:rFonts w:cs="Calibri"/>
          <w:szCs w:val="24"/>
        </w:rPr>
      </w:pPr>
      <w:r>
        <w:rPr>
          <w:rFonts w:cs="Calibri"/>
          <w:szCs w:val="24"/>
        </w:rPr>
        <w:t xml:space="preserve">finansowanie innych fakultatywnych zadań, w wysokości: </w:t>
      </w:r>
      <w:r>
        <w:rPr>
          <w:rFonts w:cs="Calibri"/>
          <w:b/>
          <w:szCs w:val="24"/>
        </w:rPr>
        <w:t>946.290,50 zł</w:t>
      </w:r>
    </w:p>
    <w:p>
      <w:pPr>
        <w:pStyle w:val="Normal"/>
        <w:ind w:left="1440" w:hanging="0"/>
        <w:jc w:val="both"/>
        <w:rPr>
          <w:rFonts w:cs="Calibri"/>
          <w:szCs w:val="24"/>
        </w:rPr>
      </w:pPr>
      <w:r>
        <w:rPr>
          <w:rFonts w:cs="Calibri"/>
          <w:szCs w:val="24"/>
        </w:rPr>
      </w:r>
    </w:p>
    <w:tbl>
      <w:tblPr>
        <w:tblW w:w="8904" w:type="dxa"/>
        <w:jc w:val="left"/>
        <w:tblInd w:w="108" w:type="dxa"/>
        <w:tblBorders>
          <w:top w:val="single" w:sz="24" w:space="0" w:color="008000"/>
          <w:left w:val="single" w:sz="24" w:space="0" w:color="008000"/>
          <w:bottom w:val="single" w:sz="24" w:space="0" w:color="008000"/>
          <w:right w:val="single" w:sz="24" w:space="0" w:color="008000"/>
          <w:insideH w:val="single" w:sz="24" w:space="0" w:color="008000"/>
          <w:insideV w:val="single" w:sz="24" w:space="0" w:color="008000"/>
        </w:tblBorders>
        <w:tblCellMar>
          <w:top w:w="0" w:type="dxa"/>
          <w:left w:w="83" w:type="dxa"/>
          <w:bottom w:w="0" w:type="dxa"/>
          <w:right w:w="108" w:type="dxa"/>
        </w:tblCellMar>
        <w:tblLook w:firstRow="1" w:noVBand="1" w:lastRow="0" w:firstColumn="1" w:lastColumn="0" w:noHBand="0" w:val="04a0"/>
      </w:tblPr>
      <w:tblGrid>
        <w:gridCol w:w="3197"/>
        <w:gridCol w:w="3310"/>
        <w:gridCol w:w="1"/>
        <w:gridCol w:w="2396"/>
      </w:tblGrid>
      <w:tr>
        <w:trPr>
          <w:trHeight w:val="822" w:hRule="atLeast"/>
        </w:trPr>
        <w:tc>
          <w:tcPr>
            <w:tcW w:w="8904" w:type="dxa"/>
            <w:gridSpan w:val="4"/>
            <w:tcBorders>
              <w:top w:val="single" w:sz="24" w:space="0" w:color="008000"/>
              <w:left w:val="single" w:sz="24" w:space="0" w:color="008000"/>
              <w:bottom w:val="single" w:sz="24" w:space="0" w:color="008000"/>
              <w:right w:val="single" w:sz="24" w:space="0" w:color="008000"/>
              <w:insideH w:val="single" w:sz="24" w:space="0" w:color="008000"/>
              <w:insideV w:val="single" w:sz="24" w:space="0" w:color="008000"/>
            </w:tcBorders>
            <w:shd w:color="auto" w:fill="92D050" w:val="clear"/>
            <w:tcMar>
              <w:left w:w="83" w:type="dxa"/>
            </w:tcMar>
            <w:vAlign w:val="center"/>
          </w:tcPr>
          <w:p>
            <w:pPr>
              <w:pStyle w:val="Normal"/>
              <w:jc w:val="center"/>
              <w:rPr>
                <w:rFonts w:cs="Calibri"/>
                <w:b/>
                <w:b/>
                <w:szCs w:val="24"/>
              </w:rPr>
            </w:pPr>
            <w:r>
              <w:rPr>
                <w:rFonts w:cs="Calibri"/>
                <w:b/>
                <w:sz w:val="28"/>
                <w:szCs w:val="24"/>
              </w:rPr>
              <w:t>Podział środków Funduszu Pracy na rok 2022 na finansowanie zadań przez Powiatowy Urząd Pracy w Sosnowcu [zł]</w:t>
            </w:r>
          </w:p>
        </w:tc>
      </w:tr>
      <w:tr>
        <w:trPr>
          <w:trHeight w:val="703" w:hRule="atLeast"/>
        </w:trPr>
        <w:tc>
          <w:tcPr>
            <w:tcW w:w="6507" w:type="dxa"/>
            <w:gridSpan w:val="2"/>
            <w:tcBorders>
              <w:top w:val="single" w:sz="24" w:space="0" w:color="00800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Kwota łączna</w:t>
            </w:r>
          </w:p>
        </w:tc>
        <w:tc>
          <w:tcPr>
            <w:tcW w:w="2397" w:type="dxa"/>
            <w:gridSpan w:val="2"/>
            <w:tcBorders>
              <w:top w:val="single" w:sz="24" w:space="0" w:color="00800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18.923.263,46</w:t>
            </w:r>
          </w:p>
        </w:tc>
      </w:tr>
      <w:tr>
        <w:trPr>
          <w:trHeight w:val="192" w:hRule="atLeast"/>
        </w:trPr>
        <w:tc>
          <w:tcPr>
            <w:tcW w:w="8904"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92D050" w:val="clear"/>
            <w:tcMar>
              <w:left w:w="108" w:type="dxa"/>
            </w:tcMar>
            <w:vAlign w:val="center"/>
          </w:tcPr>
          <w:p>
            <w:pPr>
              <w:pStyle w:val="Normal"/>
              <w:rPr>
                <w:rFonts w:cs="Calibri"/>
                <w:szCs w:val="24"/>
              </w:rPr>
            </w:pPr>
            <w:r>
              <w:rPr>
                <w:rFonts w:cs="Calibri"/>
                <w:szCs w:val="24"/>
              </w:rPr>
              <w:t>w tym</w:t>
            </w:r>
          </w:p>
        </w:tc>
      </w:tr>
      <w:tr>
        <w:trPr>
          <w:trHeight w:val="909" w:hRule="atLeast"/>
        </w:trPr>
        <w:tc>
          <w:tcPr>
            <w:tcW w:w="319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na finansowanie programów na rzecz promocji zatrudnienia, łagodzenia skutków bezrobocia i aktywizacji zawodowej bezrobotnych</w:t>
            </w:r>
          </w:p>
        </w:tc>
        <w:tc>
          <w:tcPr>
            <w:tcW w:w="3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środki FP</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10.473.900,48</w:t>
            </w:r>
          </w:p>
        </w:tc>
      </w:tr>
      <w:tr>
        <w:trPr>
          <w:trHeight w:val="1542" w:hRule="atLeast"/>
        </w:trPr>
        <w:tc>
          <w:tcPr>
            <w:tcW w:w="319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r>
          </w:p>
        </w:tc>
        <w:tc>
          <w:tcPr>
            <w:tcW w:w="3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środki EFS prefinansowane z FP na projekty pozakonkursowe w ramach PO WER i RPO WSL 2014-2020</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7.503.072,48</w:t>
            </w:r>
          </w:p>
        </w:tc>
      </w:tr>
      <w:tr>
        <w:trPr>
          <w:trHeight w:val="859" w:hRule="atLeast"/>
        </w:trPr>
        <w:tc>
          <w:tcPr>
            <w:tcW w:w="31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na finansowanie innych fakultatywnych zadań</w:t>
            </w:r>
          </w:p>
        </w:tc>
        <w:tc>
          <w:tcPr>
            <w:tcW w:w="331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środki FP</w:t>
            </w:r>
          </w:p>
        </w:tc>
        <w:tc>
          <w:tcPr>
            <w:tcW w:w="23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946.290,50</w:t>
            </w:r>
          </w:p>
        </w:tc>
      </w:tr>
    </w:tbl>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ListParagraph"/>
        <w:numPr>
          <w:ilvl w:val="0"/>
          <w:numId w:val="23"/>
        </w:numPr>
        <w:spacing w:lineRule="auto" w:line="276"/>
        <w:jc w:val="both"/>
        <w:rPr>
          <w:rFonts w:cs="Calibri"/>
          <w:b/>
          <w:b/>
          <w:sz w:val="28"/>
          <w:szCs w:val="24"/>
        </w:rPr>
      </w:pPr>
      <w:r>
        <w:rPr>
          <w:rFonts w:cs="Calibri"/>
          <w:b/>
          <w:sz w:val="28"/>
          <w:szCs w:val="24"/>
        </w:rPr>
        <w:t>Planowany podział środków FP na konkretne cele operacyjne (formy wsparcia) do realizacji przez Urząd w 2022 r.</w:t>
      </w:r>
    </w:p>
    <w:p>
      <w:pPr>
        <w:pStyle w:val="Normal"/>
        <w:ind w:left="720" w:hanging="0"/>
        <w:jc w:val="both"/>
        <w:rPr>
          <w:rFonts w:cs="Calibri"/>
          <w:b/>
          <w:b/>
          <w:szCs w:val="24"/>
        </w:rPr>
      </w:pPr>
      <w:r>
        <w:rPr>
          <w:rFonts w:cs="Calibri"/>
          <w:b/>
          <w:szCs w:val="24"/>
        </w:rPr>
      </w:r>
    </w:p>
    <w:p>
      <w:pPr>
        <w:pStyle w:val="Normal"/>
        <w:numPr>
          <w:ilvl w:val="0"/>
          <w:numId w:val="8"/>
        </w:numPr>
        <w:spacing w:lineRule="auto" w:line="276"/>
        <w:jc w:val="both"/>
        <w:rPr>
          <w:rFonts w:cs="Calibri"/>
          <w:b/>
          <w:b/>
          <w:szCs w:val="24"/>
        </w:rPr>
      </w:pPr>
      <w:r>
        <w:rPr>
          <w:rFonts w:cs="Calibri"/>
          <w:szCs w:val="24"/>
        </w:rPr>
        <w:t>Programy na rzecz promocji zatrudnienia, łagodzenia skutków bezrobocia i aktywizacji zawodowej bezrobotnych</w:t>
      </w:r>
    </w:p>
    <w:tbl>
      <w:tblPr>
        <w:tblW w:w="9012" w:type="dxa"/>
        <w:jc w:val="left"/>
        <w:tblInd w:w="0" w:type="dxa"/>
        <w:tblBorders>
          <w:top w:val="single" w:sz="24" w:space="0" w:color="002060"/>
          <w:left w:val="single" w:sz="24" w:space="0" w:color="002060"/>
          <w:bottom w:val="single" w:sz="24" w:space="0" w:color="002060"/>
          <w:right w:val="single" w:sz="6" w:space="0" w:color="002060"/>
          <w:insideH w:val="single" w:sz="24" w:space="0" w:color="002060"/>
          <w:insideV w:val="single" w:sz="6" w:space="0" w:color="002060"/>
        </w:tblBorders>
        <w:tblCellMar>
          <w:top w:w="0" w:type="dxa"/>
          <w:left w:w="83" w:type="dxa"/>
          <w:bottom w:w="0" w:type="dxa"/>
          <w:right w:w="108" w:type="dxa"/>
        </w:tblCellMar>
        <w:tblLook w:firstRow="1" w:noVBand="1" w:lastRow="0" w:firstColumn="1" w:lastColumn="0" w:noHBand="0" w:val="04a0"/>
      </w:tblPr>
      <w:tblGrid>
        <w:gridCol w:w="629"/>
        <w:gridCol w:w="2833"/>
        <w:gridCol w:w="1"/>
        <w:gridCol w:w="1943"/>
        <w:gridCol w:w="1"/>
        <w:gridCol w:w="1795"/>
        <w:gridCol w:w="1"/>
        <w:gridCol w:w="1809"/>
      </w:tblGrid>
      <w:tr>
        <w:trPr/>
        <w:tc>
          <w:tcPr>
            <w:tcW w:w="629" w:type="dxa"/>
            <w:tcBorders>
              <w:top w:val="single" w:sz="24" w:space="0" w:color="002060"/>
              <w:left w:val="single" w:sz="24" w:space="0" w:color="002060"/>
              <w:bottom w:val="single" w:sz="24" w:space="0" w:color="002060"/>
              <w:right w:val="single" w:sz="6" w:space="0" w:color="002060"/>
              <w:insideH w:val="single" w:sz="24" w:space="0" w:color="002060"/>
              <w:insideV w:val="single" w:sz="6" w:space="0" w:color="002060"/>
            </w:tcBorders>
            <w:shd w:color="auto" w:fill="B8CCE4" w:val="clear"/>
            <w:tcMar>
              <w:left w:w="83" w:type="dxa"/>
            </w:tcMar>
            <w:vAlign w:val="center"/>
          </w:tcPr>
          <w:p>
            <w:pPr>
              <w:pStyle w:val="Normal"/>
              <w:jc w:val="center"/>
              <w:rPr>
                <w:rFonts w:cs="Calibri"/>
                <w:b/>
                <w:b/>
                <w:sz w:val="28"/>
                <w:szCs w:val="24"/>
              </w:rPr>
            </w:pPr>
            <w:r>
              <w:rPr>
                <w:rFonts w:cs="Calibri"/>
                <w:b/>
                <w:sz w:val="28"/>
                <w:szCs w:val="24"/>
              </w:rPr>
              <w:t>Lp.</w:t>
            </w:r>
          </w:p>
        </w:tc>
        <w:tc>
          <w:tcPr>
            <w:tcW w:w="2834" w:type="dxa"/>
            <w:gridSpan w:val="2"/>
            <w:tcBorders>
              <w:top w:val="single" w:sz="24" w:space="0" w:color="002060"/>
              <w:left w:val="single" w:sz="6" w:space="0" w:color="002060"/>
              <w:bottom w:val="single" w:sz="24" w:space="0" w:color="002060"/>
              <w:right w:val="single" w:sz="6" w:space="0" w:color="002060"/>
              <w:insideH w:val="single" w:sz="24" w:space="0" w:color="002060"/>
              <w:insideV w:val="single" w:sz="6" w:space="0" w:color="002060"/>
            </w:tcBorders>
            <w:shd w:color="auto" w:fill="B8CCE4" w:val="clear"/>
            <w:tcMar>
              <w:left w:w="105" w:type="dxa"/>
            </w:tcMar>
            <w:vAlign w:val="center"/>
          </w:tcPr>
          <w:p>
            <w:pPr>
              <w:pStyle w:val="Normal"/>
              <w:jc w:val="center"/>
              <w:rPr>
                <w:rFonts w:cs="Calibri"/>
                <w:b/>
                <w:b/>
                <w:sz w:val="28"/>
                <w:szCs w:val="24"/>
              </w:rPr>
            </w:pPr>
            <w:r>
              <w:rPr>
                <w:rFonts w:cs="Calibri"/>
                <w:b/>
                <w:sz w:val="28"/>
                <w:szCs w:val="24"/>
              </w:rPr>
              <w:t>Forma aktywizacji</w:t>
            </w:r>
          </w:p>
        </w:tc>
        <w:tc>
          <w:tcPr>
            <w:tcW w:w="1944" w:type="dxa"/>
            <w:gridSpan w:val="2"/>
            <w:tcBorders>
              <w:top w:val="single" w:sz="24" w:space="0" w:color="002060"/>
              <w:left w:val="single" w:sz="6" w:space="0" w:color="002060"/>
              <w:bottom w:val="single" w:sz="24" w:space="0" w:color="002060"/>
              <w:right w:val="single" w:sz="6" w:space="0" w:color="002060"/>
              <w:insideH w:val="single" w:sz="24" w:space="0" w:color="002060"/>
              <w:insideV w:val="single" w:sz="6" w:space="0" w:color="002060"/>
            </w:tcBorders>
            <w:shd w:color="auto" w:fill="B8CCE4" w:val="clear"/>
            <w:tcMar>
              <w:left w:w="105" w:type="dxa"/>
            </w:tcMar>
            <w:vAlign w:val="center"/>
          </w:tcPr>
          <w:p>
            <w:pPr>
              <w:pStyle w:val="Normal"/>
              <w:jc w:val="center"/>
              <w:rPr>
                <w:rFonts w:cs="Calibri"/>
                <w:b/>
                <w:b/>
                <w:sz w:val="28"/>
                <w:szCs w:val="24"/>
              </w:rPr>
            </w:pPr>
            <w:r>
              <w:rPr>
                <w:rFonts w:cs="Calibri"/>
                <w:b/>
                <w:sz w:val="28"/>
                <w:szCs w:val="24"/>
              </w:rPr>
              <w:t>Planowana kwota [zł]</w:t>
            </w:r>
          </w:p>
        </w:tc>
        <w:tc>
          <w:tcPr>
            <w:tcW w:w="1796" w:type="dxa"/>
            <w:gridSpan w:val="2"/>
            <w:tcBorders>
              <w:top w:val="single" w:sz="24" w:space="0" w:color="002060"/>
              <w:left w:val="single" w:sz="6" w:space="0" w:color="002060"/>
              <w:bottom w:val="single" w:sz="24" w:space="0" w:color="002060"/>
              <w:right w:val="single" w:sz="6" w:space="0" w:color="002060"/>
              <w:insideH w:val="single" w:sz="24" w:space="0" w:color="002060"/>
              <w:insideV w:val="single" w:sz="6" w:space="0" w:color="002060"/>
            </w:tcBorders>
            <w:shd w:color="auto" w:fill="B8CCE4" w:val="clear"/>
            <w:tcMar>
              <w:left w:w="105" w:type="dxa"/>
            </w:tcMar>
            <w:vAlign w:val="center"/>
          </w:tcPr>
          <w:p>
            <w:pPr>
              <w:pStyle w:val="Normal"/>
              <w:jc w:val="center"/>
              <w:rPr>
                <w:rFonts w:cs="Calibri"/>
                <w:b/>
                <w:b/>
                <w:sz w:val="28"/>
                <w:szCs w:val="24"/>
              </w:rPr>
            </w:pPr>
            <w:r>
              <w:rPr>
                <w:rFonts w:cs="Calibri"/>
                <w:b/>
                <w:sz w:val="28"/>
                <w:szCs w:val="24"/>
              </w:rPr>
              <w:t>Udział w puli środków [%]</w:t>
            </w:r>
          </w:p>
        </w:tc>
        <w:tc>
          <w:tcPr>
            <w:tcW w:w="1809" w:type="dxa"/>
            <w:tcBorders>
              <w:top w:val="single" w:sz="24" w:space="0" w:color="002060"/>
              <w:left w:val="single" w:sz="6" w:space="0" w:color="002060"/>
              <w:bottom w:val="single" w:sz="24" w:space="0" w:color="002060"/>
              <w:right w:val="single" w:sz="24" w:space="0" w:color="002060"/>
              <w:insideH w:val="single" w:sz="24" w:space="0" w:color="002060"/>
              <w:insideV w:val="single" w:sz="24" w:space="0" w:color="002060"/>
            </w:tcBorders>
            <w:shd w:color="auto" w:fill="B8CCE4" w:val="clear"/>
            <w:tcMar>
              <w:left w:w="105" w:type="dxa"/>
            </w:tcMar>
            <w:vAlign w:val="center"/>
          </w:tcPr>
          <w:p>
            <w:pPr>
              <w:pStyle w:val="Normal"/>
              <w:jc w:val="center"/>
              <w:rPr>
                <w:rFonts w:cs="Calibri"/>
                <w:b/>
                <w:b/>
                <w:sz w:val="28"/>
                <w:szCs w:val="24"/>
              </w:rPr>
            </w:pPr>
            <w:r>
              <w:rPr>
                <w:rFonts w:cs="Calibri"/>
                <w:b/>
                <w:sz w:val="28"/>
                <w:szCs w:val="24"/>
              </w:rPr>
              <w:t>Miernik realizacji [ilość osób]</w:t>
            </w:r>
          </w:p>
        </w:tc>
      </w:tr>
      <w:tr>
        <w:trPr>
          <w:trHeight w:val="995" w:hRule="atLeast"/>
        </w:trPr>
        <w:tc>
          <w:tcPr>
            <w:tcW w:w="629" w:type="dxa"/>
            <w:tcBorders>
              <w:top w:val="single" w:sz="24" w:space="0" w:color="00206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1.</w:t>
            </w:r>
          </w:p>
        </w:tc>
        <w:tc>
          <w:tcPr>
            <w:tcW w:w="2834" w:type="dxa"/>
            <w:gridSpan w:val="2"/>
            <w:tcBorders>
              <w:top w:val="single" w:sz="24" w:space="0" w:color="00206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 xml:space="preserve">Szkolenia, </w:t>
            </w:r>
          </w:p>
          <w:p>
            <w:pPr>
              <w:pStyle w:val="Normal"/>
              <w:rPr>
                <w:rFonts w:cs="Calibri"/>
                <w:szCs w:val="24"/>
              </w:rPr>
            </w:pPr>
            <w:r>
              <w:rPr>
                <w:rFonts w:cs="Calibri"/>
                <w:szCs w:val="24"/>
              </w:rPr>
              <w:t xml:space="preserve">bony szkoleniowe, </w:t>
            </w:r>
          </w:p>
          <w:p>
            <w:pPr>
              <w:pStyle w:val="Normal"/>
              <w:rPr>
                <w:rFonts w:cs="Calibri"/>
                <w:szCs w:val="24"/>
              </w:rPr>
            </w:pPr>
            <w:r>
              <w:rPr>
                <w:rFonts w:cs="Calibri"/>
                <w:szCs w:val="24"/>
              </w:rPr>
              <w:t>egzaminy i licencje</w:t>
            </w:r>
          </w:p>
        </w:tc>
        <w:tc>
          <w:tcPr>
            <w:tcW w:w="1944" w:type="dxa"/>
            <w:gridSpan w:val="2"/>
            <w:tcBorders>
              <w:top w:val="single" w:sz="24" w:space="0" w:color="00206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680.090,00</w:t>
            </w:r>
          </w:p>
        </w:tc>
        <w:tc>
          <w:tcPr>
            <w:tcW w:w="1796" w:type="dxa"/>
            <w:gridSpan w:val="2"/>
            <w:tcBorders>
              <w:top w:val="single" w:sz="24" w:space="0" w:color="00206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3,78</w:t>
            </w:r>
          </w:p>
        </w:tc>
        <w:tc>
          <w:tcPr>
            <w:tcW w:w="1809" w:type="dxa"/>
            <w:tcBorders>
              <w:top w:val="single" w:sz="24" w:space="0" w:color="002060"/>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99</w:t>
            </w:r>
          </w:p>
        </w:tc>
      </w:tr>
      <w:tr>
        <w:trPr>
          <w:trHeight w:val="451"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2.</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Studia podyplomowe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427.500,00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2,38</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30</w:t>
            </w:r>
          </w:p>
        </w:tc>
      </w:tr>
      <w:tr>
        <w:trPr>
          <w:trHeight w:val="981"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3.</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Dofinansowanie wynagrodzeń bezrobotnych powyżej 50 roku życia</w:t>
            </w:r>
            <w:r>
              <w:rPr>
                <w:rStyle w:val="Zakotwiczenieprzypisudolnego"/>
                <w:rFonts w:cs="Calibri"/>
                <w:szCs w:val="24"/>
              </w:rPr>
              <w:footnoteReference w:id="3"/>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50.000,00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0,28</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5</w:t>
            </w:r>
          </w:p>
        </w:tc>
      </w:tr>
      <w:tr>
        <w:trPr>
          <w:trHeight w:val="555"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b/>
                <w:b/>
                <w:szCs w:val="24"/>
              </w:rPr>
            </w:pPr>
            <w:r>
              <w:rPr>
                <w:rFonts w:cs="Calibri"/>
                <w:b/>
                <w:szCs w:val="24"/>
              </w:rPr>
              <w:t>4.</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rPr>
                <w:rFonts w:cs="Calibri"/>
                <w:szCs w:val="24"/>
              </w:rPr>
            </w:pPr>
            <w:r>
              <w:rPr>
                <w:rFonts w:cs="Calibri"/>
                <w:szCs w:val="24"/>
              </w:rPr>
              <w:t>Prace interwencyjne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1.969.000,00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10,95</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100</w:t>
            </w:r>
          </w:p>
        </w:tc>
      </w:tr>
      <w:tr>
        <w:trPr>
          <w:trHeight w:val="548"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5.</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Roboty publiczne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612.000,00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3,4</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30</w:t>
            </w:r>
          </w:p>
        </w:tc>
      </w:tr>
      <w:tr>
        <w:trPr>
          <w:trHeight w:val="571"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6.</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Prace społecznie użyteczne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65.000,00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0,36</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60</w:t>
            </w:r>
          </w:p>
        </w:tc>
      </w:tr>
      <w:tr>
        <w:trPr>
          <w:trHeight w:val="1255"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b/>
                <w:b/>
                <w:szCs w:val="24"/>
              </w:rPr>
            </w:pPr>
            <w:r>
              <w:rPr>
                <w:rFonts w:cs="Calibri"/>
                <w:b/>
                <w:szCs w:val="24"/>
              </w:rPr>
              <w:t>7.</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rPr>
                <w:rFonts w:cs="Calibri"/>
                <w:szCs w:val="24"/>
              </w:rPr>
            </w:pPr>
            <w:r>
              <w:rPr>
                <w:rFonts w:cs="Calibri"/>
                <w:szCs w:val="24"/>
              </w:rPr>
              <w:t>Refundacje kosztów wyposażenia lub doposażenia stanowisk pracy</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1.155.000,00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6,42</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35</w:t>
            </w:r>
          </w:p>
        </w:tc>
      </w:tr>
      <w:tr>
        <w:trPr>
          <w:trHeight w:val="1125"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b/>
                <w:b/>
                <w:szCs w:val="24"/>
              </w:rPr>
            </w:pPr>
            <w:r>
              <w:rPr>
                <w:rFonts w:cs="Calibri"/>
                <w:b/>
                <w:szCs w:val="24"/>
              </w:rPr>
              <w:t>8.</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both"/>
              <w:rPr>
                <w:rFonts w:cs="Calibri"/>
                <w:szCs w:val="24"/>
              </w:rPr>
            </w:pPr>
            <w:r>
              <w:rPr>
                <w:rFonts w:cs="Calibri"/>
                <w:szCs w:val="24"/>
              </w:rPr>
              <w:t>Jednorazowe środki na uruchomienie działalności gospodarczej</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6.596.442,96</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36,69</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200</w:t>
            </w:r>
          </w:p>
        </w:tc>
      </w:tr>
      <w:tr>
        <w:trPr>
          <w:trHeight w:val="552"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b/>
                <w:b/>
                <w:szCs w:val="24"/>
              </w:rPr>
            </w:pPr>
            <w:r>
              <w:rPr>
                <w:rFonts w:cs="Calibri"/>
                <w:b/>
                <w:szCs w:val="24"/>
              </w:rPr>
              <w:t>9.</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rPr>
                <w:rFonts w:cs="Calibri"/>
                <w:szCs w:val="24"/>
              </w:rPr>
            </w:pPr>
            <w:r>
              <w:rPr>
                <w:rFonts w:cs="Calibri"/>
                <w:szCs w:val="24"/>
              </w:rPr>
              <w:t>Staże i bony stażowe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5.735.260,00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31,9</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8CCE4" w:val="clear"/>
            <w:tcMar>
              <w:left w:w="108" w:type="dxa"/>
            </w:tcMar>
            <w:vAlign w:val="center"/>
          </w:tcPr>
          <w:p>
            <w:pPr>
              <w:pStyle w:val="Normal"/>
              <w:jc w:val="center"/>
              <w:rPr>
                <w:rFonts w:cs="Calibri"/>
                <w:szCs w:val="24"/>
              </w:rPr>
            </w:pPr>
            <w:r>
              <w:rPr>
                <w:rFonts w:cs="Calibri"/>
                <w:szCs w:val="24"/>
              </w:rPr>
              <w:t>304</w:t>
            </w:r>
          </w:p>
        </w:tc>
      </w:tr>
      <w:tr>
        <w:trPr>
          <w:trHeight w:val="559"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10.</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Bony zatrudnieniowe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305.000,00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1,70</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20</w:t>
            </w:r>
          </w:p>
        </w:tc>
      </w:tr>
      <w:tr>
        <w:trPr>
          <w:trHeight w:val="563" w:hRule="atLeast"/>
        </w:trPr>
        <w:tc>
          <w:tcPr>
            <w:tcW w:w="6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11.</w:t>
            </w:r>
          </w:p>
        </w:tc>
        <w:tc>
          <w:tcPr>
            <w:tcW w:w="283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cs="Calibri"/>
                <w:szCs w:val="24"/>
              </w:rPr>
            </w:pPr>
            <w:r>
              <w:rPr>
                <w:rFonts w:cs="Calibri"/>
                <w:szCs w:val="24"/>
              </w:rPr>
              <w:t>Bony na zasiedlenie</w:t>
            </w:r>
          </w:p>
        </w:tc>
        <w:tc>
          <w:tcPr>
            <w:tcW w:w="194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300.000,00</w:t>
            </w:r>
          </w:p>
        </w:tc>
        <w:tc>
          <w:tcPr>
            <w:tcW w:w="179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1,67</w:t>
            </w:r>
          </w:p>
        </w:tc>
        <w:tc>
          <w:tcPr>
            <w:tcW w:w="18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30</w:t>
            </w:r>
          </w:p>
        </w:tc>
      </w:tr>
      <w:tr>
        <w:trPr>
          <w:trHeight w:val="548" w:hRule="atLeast"/>
        </w:trPr>
        <w:tc>
          <w:tcPr>
            <w:tcW w:w="629" w:type="dxa"/>
            <w:tcBorders>
              <w:top w:val="single" w:sz="4" w:space="0" w:color="00000A"/>
              <w:left w:val="single" w:sz="4" w:space="0" w:color="00000A"/>
              <w:bottom w:val="single" w:sz="24" w:space="0" w:color="002060"/>
              <w:right w:val="single" w:sz="4" w:space="0" w:color="00000A"/>
              <w:insideH w:val="single" w:sz="24" w:space="0" w:color="002060"/>
              <w:insideV w:val="single" w:sz="4" w:space="0" w:color="00000A"/>
            </w:tcBorders>
            <w:shd w:fill="auto" w:val="clear"/>
            <w:tcMar>
              <w:left w:w="108" w:type="dxa"/>
            </w:tcMar>
            <w:vAlign w:val="center"/>
          </w:tcPr>
          <w:p>
            <w:pPr>
              <w:pStyle w:val="Normal"/>
              <w:jc w:val="center"/>
              <w:rPr>
                <w:rFonts w:cs="Calibri"/>
                <w:b/>
                <w:b/>
                <w:szCs w:val="24"/>
              </w:rPr>
            </w:pPr>
            <w:r>
              <w:rPr>
                <w:rFonts w:cs="Calibri"/>
                <w:b/>
                <w:szCs w:val="24"/>
              </w:rPr>
              <w:t>12.</w:t>
            </w:r>
          </w:p>
        </w:tc>
        <w:tc>
          <w:tcPr>
            <w:tcW w:w="2834" w:type="dxa"/>
            <w:gridSpan w:val="2"/>
            <w:tcBorders>
              <w:top w:val="single" w:sz="4" w:space="0" w:color="00000A"/>
              <w:left w:val="single" w:sz="4" w:space="0" w:color="00000A"/>
              <w:bottom w:val="single" w:sz="24" w:space="0" w:color="002060"/>
              <w:right w:val="single" w:sz="4" w:space="0" w:color="00000A"/>
              <w:insideH w:val="single" w:sz="24" w:space="0" w:color="002060"/>
              <w:insideV w:val="single" w:sz="4" w:space="0" w:color="00000A"/>
            </w:tcBorders>
            <w:shd w:fill="auto" w:val="clear"/>
            <w:tcMar>
              <w:left w:w="108" w:type="dxa"/>
            </w:tcMar>
            <w:vAlign w:val="center"/>
          </w:tcPr>
          <w:p>
            <w:pPr>
              <w:pStyle w:val="Normal"/>
              <w:rPr>
                <w:rFonts w:cs="Calibri"/>
                <w:szCs w:val="24"/>
              </w:rPr>
            </w:pPr>
            <w:r>
              <w:rPr>
                <w:rFonts w:cs="Calibri"/>
                <w:szCs w:val="24"/>
              </w:rPr>
              <w:t>Badania lekarskie</w:t>
            </w:r>
            <w:r>
              <w:rPr>
                <w:rStyle w:val="Zakotwiczenieprzypisudolnego"/>
                <w:rFonts w:cs="Calibri"/>
                <w:szCs w:val="24"/>
              </w:rPr>
              <w:footnoteReference w:id="4"/>
            </w:r>
          </w:p>
        </w:tc>
        <w:tc>
          <w:tcPr>
            <w:tcW w:w="1944" w:type="dxa"/>
            <w:gridSpan w:val="2"/>
            <w:tcBorders>
              <w:top w:val="single" w:sz="4" w:space="0" w:color="00000A"/>
              <w:left w:val="single" w:sz="4" w:space="0" w:color="00000A"/>
              <w:bottom w:val="single" w:sz="24" w:space="0" w:color="002060"/>
              <w:right w:val="single" w:sz="4" w:space="0" w:color="00000A"/>
              <w:insideH w:val="single" w:sz="24" w:space="0" w:color="002060"/>
              <w:insideV w:val="single" w:sz="4" w:space="0" w:color="00000A"/>
            </w:tcBorders>
            <w:shd w:fill="auto" w:val="clear"/>
            <w:tcMar>
              <w:left w:w="108" w:type="dxa"/>
            </w:tcMar>
            <w:vAlign w:val="center"/>
          </w:tcPr>
          <w:p>
            <w:pPr>
              <w:pStyle w:val="Normal"/>
              <w:jc w:val="center"/>
              <w:rPr>
                <w:rFonts w:cs="Calibri"/>
                <w:szCs w:val="24"/>
              </w:rPr>
            </w:pPr>
            <w:r>
              <w:rPr>
                <w:rFonts w:cs="Calibri"/>
                <w:szCs w:val="24"/>
              </w:rPr>
              <w:t>81.680,00</w:t>
            </w:r>
          </w:p>
        </w:tc>
        <w:tc>
          <w:tcPr>
            <w:tcW w:w="1796" w:type="dxa"/>
            <w:gridSpan w:val="2"/>
            <w:tcBorders>
              <w:top w:val="single" w:sz="4" w:space="0" w:color="00000A"/>
              <w:left w:val="single" w:sz="4" w:space="0" w:color="00000A"/>
              <w:bottom w:val="single" w:sz="24" w:space="0" w:color="002060"/>
              <w:right w:val="single" w:sz="4" w:space="0" w:color="00000A"/>
              <w:insideH w:val="single" w:sz="24" w:space="0" w:color="002060"/>
              <w:insideV w:val="single" w:sz="4" w:space="0" w:color="00000A"/>
            </w:tcBorders>
            <w:shd w:fill="auto" w:val="clear"/>
            <w:tcMar>
              <w:left w:w="108" w:type="dxa"/>
            </w:tcMar>
            <w:vAlign w:val="center"/>
          </w:tcPr>
          <w:p>
            <w:pPr>
              <w:pStyle w:val="Normal"/>
              <w:jc w:val="center"/>
              <w:rPr>
                <w:rFonts w:cs="Calibri"/>
                <w:szCs w:val="24"/>
              </w:rPr>
            </w:pPr>
            <w:r>
              <w:rPr>
                <w:rFonts w:cs="Calibri"/>
                <w:szCs w:val="24"/>
              </w:rPr>
              <w:t>0,45</w:t>
            </w:r>
          </w:p>
        </w:tc>
        <w:tc>
          <w:tcPr>
            <w:tcW w:w="1809" w:type="dxa"/>
            <w:tcBorders>
              <w:top w:val="single" w:sz="4" w:space="0" w:color="00000A"/>
              <w:left w:val="single" w:sz="4" w:space="0" w:color="00000A"/>
              <w:bottom w:val="single" w:sz="24" w:space="0" w:color="002060"/>
              <w:right w:val="single" w:sz="4" w:space="0" w:color="00000A"/>
              <w:insideH w:val="single" w:sz="24" w:space="0" w:color="002060"/>
              <w:insideV w:val="single" w:sz="4" w:space="0" w:color="00000A"/>
            </w:tcBorders>
            <w:shd w:fill="auto" w:val="clear"/>
            <w:tcMar>
              <w:left w:w="108" w:type="dxa"/>
            </w:tcMar>
            <w:vAlign w:val="center"/>
          </w:tcPr>
          <w:p>
            <w:pPr>
              <w:pStyle w:val="Normal"/>
              <w:jc w:val="center"/>
              <w:rPr>
                <w:rFonts w:cs="Calibri"/>
                <w:szCs w:val="24"/>
              </w:rPr>
            </w:pPr>
            <w:r>
              <w:rPr>
                <w:rFonts w:cs="Calibri"/>
                <w:szCs w:val="24"/>
              </w:rPr>
              <w:t>364</w:t>
            </w:r>
          </w:p>
        </w:tc>
      </w:tr>
      <w:tr>
        <w:trPr>
          <w:trHeight w:val="569" w:hRule="atLeast"/>
        </w:trPr>
        <w:tc>
          <w:tcPr>
            <w:tcW w:w="3462" w:type="dxa"/>
            <w:gridSpan w:val="2"/>
            <w:tcBorders>
              <w:top w:val="single" w:sz="24" w:space="0" w:color="002060"/>
              <w:left w:val="single" w:sz="24" w:space="0" w:color="002060"/>
              <w:bottom w:val="single" w:sz="24" w:space="0" w:color="002060"/>
              <w:right w:val="single" w:sz="6" w:space="0" w:color="002060"/>
              <w:insideH w:val="single" w:sz="24" w:space="0" w:color="002060"/>
              <w:insideV w:val="single" w:sz="6" w:space="0" w:color="002060"/>
            </w:tcBorders>
            <w:shd w:fill="auto" w:val="clear"/>
            <w:tcMar>
              <w:left w:w="83" w:type="dxa"/>
            </w:tcMar>
            <w:vAlign w:val="center"/>
          </w:tcPr>
          <w:p>
            <w:pPr>
              <w:pStyle w:val="Normal"/>
              <w:rPr>
                <w:rFonts w:cs="Calibri"/>
                <w:b/>
                <w:b/>
                <w:sz w:val="28"/>
                <w:szCs w:val="24"/>
              </w:rPr>
            </w:pPr>
            <w:r>
              <w:rPr>
                <w:rFonts w:cs="Calibri"/>
                <w:b/>
                <w:sz w:val="28"/>
                <w:szCs w:val="24"/>
              </w:rPr>
              <w:t>RAZEM:</w:t>
            </w:r>
          </w:p>
        </w:tc>
        <w:tc>
          <w:tcPr>
            <w:tcW w:w="1944" w:type="dxa"/>
            <w:gridSpan w:val="2"/>
            <w:tcBorders>
              <w:top w:val="single" w:sz="24" w:space="0" w:color="002060"/>
              <w:left w:val="single" w:sz="6" w:space="0" w:color="002060"/>
              <w:bottom w:val="single" w:sz="24" w:space="0" w:color="002060"/>
              <w:right w:val="single" w:sz="6" w:space="0" w:color="002060"/>
              <w:insideH w:val="single" w:sz="24" w:space="0" w:color="002060"/>
              <w:insideV w:val="single" w:sz="6" w:space="0" w:color="002060"/>
            </w:tcBorders>
            <w:shd w:fill="auto" w:val="clear"/>
            <w:tcMar>
              <w:left w:w="105" w:type="dxa"/>
            </w:tcMar>
            <w:vAlign w:val="center"/>
          </w:tcPr>
          <w:p>
            <w:pPr>
              <w:pStyle w:val="Normal"/>
              <w:jc w:val="center"/>
              <w:rPr>
                <w:rFonts w:cs="Calibri"/>
                <w:b/>
                <w:b/>
                <w:sz w:val="28"/>
                <w:szCs w:val="24"/>
              </w:rPr>
            </w:pPr>
            <w:r>
              <w:rPr>
                <w:rFonts w:cs="Calibri"/>
                <w:b/>
                <w:sz w:val="28"/>
                <w:szCs w:val="24"/>
              </w:rPr>
              <w:t>17.976.972,96</w:t>
            </w:r>
          </w:p>
        </w:tc>
        <w:tc>
          <w:tcPr>
            <w:tcW w:w="1796" w:type="dxa"/>
            <w:gridSpan w:val="2"/>
            <w:tcBorders>
              <w:top w:val="single" w:sz="24" w:space="0" w:color="002060"/>
              <w:left w:val="single" w:sz="6" w:space="0" w:color="002060"/>
              <w:bottom w:val="single" w:sz="24" w:space="0" w:color="002060"/>
              <w:right w:val="single" w:sz="6" w:space="0" w:color="002060"/>
              <w:insideH w:val="single" w:sz="24" w:space="0" w:color="002060"/>
              <w:insideV w:val="single" w:sz="6" w:space="0" w:color="002060"/>
            </w:tcBorders>
            <w:shd w:fill="auto" w:val="clear"/>
            <w:tcMar>
              <w:left w:w="105" w:type="dxa"/>
            </w:tcMar>
            <w:vAlign w:val="center"/>
          </w:tcPr>
          <w:p>
            <w:pPr>
              <w:pStyle w:val="Normal"/>
              <w:jc w:val="center"/>
              <w:rPr>
                <w:rFonts w:cs="Calibri"/>
                <w:b/>
                <w:b/>
                <w:sz w:val="28"/>
                <w:szCs w:val="24"/>
              </w:rPr>
            </w:pPr>
            <w:r>
              <w:rPr>
                <w:rFonts w:cs="Calibri"/>
                <w:b/>
                <w:sz w:val="28"/>
                <w:szCs w:val="24"/>
              </w:rPr>
              <w:t>100</w:t>
            </w:r>
          </w:p>
        </w:tc>
        <w:tc>
          <w:tcPr>
            <w:tcW w:w="1810" w:type="dxa"/>
            <w:gridSpan w:val="2"/>
            <w:tcBorders>
              <w:top w:val="single" w:sz="24" w:space="0" w:color="002060"/>
              <w:left w:val="single" w:sz="6" w:space="0" w:color="002060"/>
              <w:bottom w:val="single" w:sz="24" w:space="0" w:color="002060"/>
              <w:right w:val="single" w:sz="24" w:space="0" w:color="002060"/>
              <w:insideH w:val="single" w:sz="24" w:space="0" w:color="002060"/>
              <w:insideV w:val="single" w:sz="24" w:space="0" w:color="002060"/>
            </w:tcBorders>
            <w:shd w:fill="auto" w:val="clear"/>
            <w:tcMar>
              <w:left w:w="105" w:type="dxa"/>
            </w:tcMar>
            <w:vAlign w:val="center"/>
          </w:tcPr>
          <w:p>
            <w:pPr>
              <w:pStyle w:val="Normal"/>
              <w:jc w:val="center"/>
              <w:rPr>
                <w:rFonts w:cs="Calibri"/>
                <w:b/>
                <w:b/>
                <w:sz w:val="28"/>
                <w:szCs w:val="24"/>
              </w:rPr>
            </w:pPr>
            <w:r>
              <w:rPr>
                <w:rFonts w:cs="Calibri"/>
                <w:b/>
                <w:sz w:val="28"/>
                <w:szCs w:val="24"/>
              </w:rPr>
              <w:t>1277</w:t>
            </w:r>
          </w:p>
        </w:tc>
      </w:tr>
    </w:tbl>
    <w:p>
      <w:pPr>
        <w:pStyle w:val="Normal"/>
        <w:jc w:val="both"/>
        <w:rPr>
          <w:rFonts w:cs="Calibri"/>
          <w:b/>
          <w:b/>
          <w:szCs w:val="24"/>
        </w:rPr>
      </w:pPr>
      <w:r>
        <w:rPr>
          <w:rFonts w:cs="Calibri"/>
          <w:b/>
          <w:szCs w:val="24"/>
        </w:rPr>
        <w:t>Uzasadnienie podziału środków</w:t>
      </w:r>
    </w:p>
    <w:p>
      <w:pPr>
        <w:pStyle w:val="Normal"/>
        <w:jc w:val="both"/>
        <w:rPr>
          <w:rFonts w:cs="Calibri"/>
          <w:b/>
          <w:b/>
          <w:szCs w:val="24"/>
        </w:rPr>
      </w:pPr>
      <w:r>
        <w:rPr>
          <w:rFonts w:cs="Calibri"/>
          <w:b/>
          <w:szCs w:val="24"/>
        </w:rPr>
      </w:r>
    </w:p>
    <w:p>
      <w:pPr>
        <w:pStyle w:val="Normal"/>
        <w:jc w:val="both"/>
        <w:rPr>
          <w:rFonts w:cs="Calibri"/>
          <w:b/>
          <w:b/>
          <w:szCs w:val="24"/>
        </w:rPr>
      </w:pPr>
      <w:r>
        <w:rPr>
          <w:rFonts w:cs="Calibri"/>
          <w:szCs w:val="24"/>
        </w:rPr>
        <w:t xml:space="preserve">Zaproponowany podział jest zgodny z kierunkami działań zawartymi w Ustawie, z założeniami ujętymi w </w:t>
      </w:r>
      <w:r>
        <w:rPr>
          <w:rFonts w:cs="Calibri"/>
          <w:i/>
          <w:szCs w:val="24"/>
        </w:rPr>
        <w:t>Planie Działalności na rok 2022 dla Powiatowego Urzędu Pracy w Sosnowcu</w:t>
      </w:r>
      <w:r>
        <w:rPr>
          <w:rFonts w:cs="Calibri"/>
          <w:szCs w:val="24"/>
        </w:rPr>
        <w:t xml:space="preserve"> oraz wysokością środków FP przyznaną Urzędowi przez Ministerstwo. Uwzględnia również zmienność i w pewnym stopniu nieprzewidywalność rynku pracy w okresie epidemii COVID-19, stąd nacisk na formy obejmujące subsydiowanie zatrudnienia.</w:t>
      </w:r>
    </w:p>
    <w:p>
      <w:pPr>
        <w:pStyle w:val="Normal"/>
        <w:jc w:val="both"/>
        <w:rPr>
          <w:rFonts w:cs="Calibri"/>
          <w:szCs w:val="24"/>
        </w:rPr>
      </w:pPr>
      <w:r>
        <w:rPr>
          <w:rFonts w:cs="Calibri"/>
          <w:szCs w:val="24"/>
        </w:rPr>
      </w:r>
    </w:p>
    <w:p>
      <w:pPr>
        <w:pStyle w:val="Normal"/>
        <w:jc w:val="both"/>
        <w:rPr>
          <w:rFonts w:cs="Calibri"/>
          <w:szCs w:val="24"/>
        </w:rPr>
      </w:pPr>
      <w:r>
        <w:rPr>
          <w:rFonts w:cs="Calibri"/>
          <w:szCs w:val="24"/>
        </w:rPr>
        <w:t>Beneficjentami programów będą zarówno osoby bezrobotne, jak i poszukujące pracy wymagające wsparcia w celu utrzymania się na rynku pracy. Działania Urzędu będą kierowane w szczególności do osób bezrobotnych znajdujących się w szczególnej sytuacji na rynku pracy:</w:t>
      </w:r>
    </w:p>
    <w:p>
      <w:pPr>
        <w:pStyle w:val="Normal"/>
        <w:jc w:val="both"/>
        <w:rPr>
          <w:rFonts w:cs="Calibri"/>
          <w:szCs w:val="24"/>
        </w:rPr>
      </w:pPr>
      <w:r>
        <w:rPr>
          <w:rFonts w:cs="Calibri"/>
          <w:szCs w:val="24"/>
        </w:rPr>
        <w:t>- bezrobotni do 30 roku życia,</w:t>
      </w:r>
    </w:p>
    <w:p>
      <w:pPr>
        <w:pStyle w:val="Normal"/>
        <w:jc w:val="both"/>
        <w:rPr>
          <w:rFonts w:cs="Calibri"/>
          <w:szCs w:val="24"/>
        </w:rPr>
      </w:pPr>
      <w:r>
        <w:rPr>
          <w:rFonts w:cs="Calibri"/>
          <w:szCs w:val="24"/>
        </w:rPr>
        <w:t>- długotrwale bezrobotni,</w:t>
      </w:r>
    </w:p>
    <w:p>
      <w:pPr>
        <w:pStyle w:val="Normal"/>
        <w:jc w:val="both"/>
        <w:rPr>
          <w:rFonts w:cs="Calibri"/>
          <w:szCs w:val="24"/>
        </w:rPr>
      </w:pPr>
      <w:r>
        <w:rPr>
          <w:rFonts w:cs="Calibri"/>
          <w:szCs w:val="24"/>
        </w:rPr>
        <w:t>- bezrobotni powyżej 50 roku życia,</w:t>
      </w:r>
    </w:p>
    <w:p>
      <w:pPr>
        <w:pStyle w:val="Normal"/>
        <w:jc w:val="both"/>
        <w:rPr>
          <w:rFonts w:cs="Calibri"/>
          <w:szCs w:val="24"/>
        </w:rPr>
      </w:pPr>
      <w:r>
        <w:rPr>
          <w:rFonts w:cs="Calibri"/>
          <w:szCs w:val="24"/>
        </w:rPr>
        <w:t>- bezrobotni niepełnosprawni.</w:t>
      </w:r>
    </w:p>
    <w:p>
      <w:pPr>
        <w:pStyle w:val="Normal"/>
        <w:jc w:val="both"/>
        <w:rPr>
          <w:rFonts w:cs="Calibri"/>
          <w:szCs w:val="24"/>
        </w:rPr>
      </w:pPr>
      <w:r>
        <w:rPr>
          <w:rFonts w:cs="Calibri"/>
          <w:szCs w:val="24"/>
        </w:rPr>
      </w:r>
    </w:p>
    <w:p>
      <w:pPr>
        <w:pStyle w:val="Normal"/>
        <w:jc w:val="both"/>
        <w:rPr>
          <w:rFonts w:cs="Calibri"/>
          <w:szCs w:val="24"/>
        </w:rPr>
      </w:pPr>
      <w:r>
        <w:rPr>
          <w:rFonts w:cs="Calibri"/>
          <w:szCs w:val="24"/>
        </w:rPr>
        <w:t xml:space="preserve">Na finansowanie aktywnych programów rynku pracy w 2022 r. Urząd dysponuje kwotą wyższą o 4.496.555,75 zł, tj. o 75,22% większą niż w 2021 r. </w:t>
      </w:r>
    </w:p>
    <w:p>
      <w:pPr>
        <w:pStyle w:val="Normal"/>
        <w:jc w:val="both"/>
        <w:rPr>
          <w:rFonts w:cs="Calibri"/>
          <w:szCs w:val="24"/>
        </w:rPr>
      </w:pPr>
      <w:r>
        <w:rPr>
          <w:rFonts w:cs="Calibri"/>
          <w:szCs w:val="24"/>
        </w:rPr>
        <w:t xml:space="preserve">Otrzymana kwota pozwoli na pokrycie zobowiązań wynikających z umów zawartych w roku ubiegłym (ponad 1.360.000,00 zł), realizację form wsparcia, na które jest popyt na rynku pracy oraz form, które dotychczas były realizowane w bardzo wąskim zakresie ze względu na niewystarczające środki finansowe. </w:t>
      </w:r>
    </w:p>
    <w:p>
      <w:pPr>
        <w:pStyle w:val="Normal"/>
        <w:jc w:val="both"/>
        <w:rPr>
          <w:rFonts w:cs="Calibri"/>
          <w:szCs w:val="24"/>
        </w:rPr>
      </w:pPr>
      <w:r>
        <w:rPr>
          <w:rFonts w:cs="Calibri"/>
          <w:szCs w:val="24"/>
        </w:rPr>
      </w:r>
    </w:p>
    <w:p>
      <w:pPr>
        <w:pStyle w:val="Normal"/>
        <w:rPr>
          <w:rFonts w:cs="Calibri"/>
          <w:szCs w:val="24"/>
        </w:rPr>
      </w:pPr>
      <w:r>
        <w:rPr>
          <w:rFonts w:cs="Calibri"/>
          <w:szCs w:val="24"/>
        </w:rPr>
        <w:t>Z uwagi na zwiększoną pulę środków finansowych, Urząd planuje objąć większym niż dotychczas wsparciem osoby poszukujące pracy w wieku 45+. Jest to grupa osób pracujących, które – aby konkurować na rynku pracy z młodszymi pracownikami – muszą stale podnosić swoje kwalifikacje i kompetencje zawodowe poprzez udział w szkoleniach lub studiach podyplomowych.</w:t>
      </w:r>
    </w:p>
    <w:p>
      <w:pPr>
        <w:pStyle w:val="Normal"/>
        <w:rPr>
          <w:rFonts w:cs="Calibri"/>
          <w:szCs w:val="24"/>
        </w:rPr>
      </w:pPr>
      <w:r>
        <w:rPr>
          <w:rFonts w:cs="Calibri"/>
          <w:szCs w:val="24"/>
        </w:rPr>
      </w:r>
    </w:p>
    <w:p>
      <w:pPr>
        <w:pStyle w:val="Normal"/>
        <w:rPr>
          <w:rFonts w:cs="Calibri"/>
          <w:szCs w:val="24"/>
        </w:rPr>
      </w:pPr>
      <w:r>
        <w:rPr>
          <w:rFonts w:cs="Calibri"/>
          <w:szCs w:val="24"/>
        </w:rPr>
      </w:r>
    </w:p>
    <w:p>
      <w:pPr>
        <w:pStyle w:val="ListParagraph"/>
        <w:widowControl/>
        <w:numPr>
          <w:ilvl w:val="0"/>
          <w:numId w:val="23"/>
        </w:numPr>
        <w:suppressAutoHyphens w:val="false"/>
        <w:spacing w:lineRule="auto" w:line="276"/>
        <w:jc w:val="both"/>
        <w:rPr>
          <w:rFonts w:cs="Calibri"/>
          <w:sz w:val="32"/>
          <w:szCs w:val="26"/>
        </w:rPr>
      </w:pPr>
      <w:r>
        <w:rPr>
          <w:rFonts w:cs="Calibri"/>
          <w:b/>
          <w:sz w:val="32"/>
          <w:szCs w:val="26"/>
        </w:rPr>
        <w:t>Dodatkowe działania Urzędu w zakresie promocji zatrudnienia i łagodzenia skutków bezrobocia oraz doskonalenia zawodowego pracodawców</w:t>
      </w:r>
    </w:p>
    <w:p>
      <w:pPr>
        <w:pStyle w:val="Normal"/>
        <w:rPr>
          <w:rFonts w:cs="Calibri"/>
          <w:szCs w:val="24"/>
        </w:rPr>
      </w:pPr>
      <w:r>
        <w:rPr>
          <w:rFonts w:cs="Calibri"/>
          <w:szCs w:val="24"/>
        </w:rPr>
        <w:t xml:space="preserve">     </w:t>
      </w:r>
    </w:p>
    <w:p>
      <w:pPr>
        <w:pStyle w:val="Normal"/>
        <w:widowControl/>
        <w:numPr>
          <w:ilvl w:val="0"/>
          <w:numId w:val="9"/>
        </w:numPr>
        <w:suppressAutoHyphens w:val="false"/>
        <w:spacing w:lineRule="auto" w:line="276"/>
        <w:jc w:val="both"/>
        <w:rPr>
          <w:rFonts w:cs="Calibri"/>
          <w:b/>
          <w:b/>
          <w:sz w:val="28"/>
          <w:szCs w:val="24"/>
        </w:rPr>
      </w:pPr>
      <w:r>
        <w:rPr>
          <w:rFonts w:cs="Calibri"/>
          <w:b/>
          <w:sz w:val="28"/>
          <w:szCs w:val="24"/>
        </w:rPr>
        <w:t>Krajowy Fundusz Szkoleniowy (KFS)</w:t>
      </w:r>
    </w:p>
    <w:p>
      <w:pPr>
        <w:pStyle w:val="Normal"/>
        <w:ind w:left="720" w:hanging="0"/>
        <w:jc w:val="both"/>
        <w:rPr>
          <w:rFonts w:cs="Calibri"/>
          <w:b/>
          <w:b/>
          <w:szCs w:val="24"/>
        </w:rPr>
      </w:pPr>
      <w:r>
        <w:rPr>
          <w:rFonts w:cs="Calibri"/>
          <w:szCs w:val="24"/>
        </w:rPr>
        <w:t>Na finansowanie zadań podejmowanych w 2022 r. na rzecz doskonalenia zawodowego pracodawców i ich pracowników Urząd otrzymał środki w ramach KFS w wysokości</w:t>
      </w:r>
      <w:r>
        <w:rPr>
          <w:rFonts w:cs="Calibri"/>
          <w:b/>
          <w:szCs w:val="24"/>
        </w:rPr>
        <w:t xml:space="preserve"> 913.400,00 zł.</w:t>
      </w:r>
    </w:p>
    <w:p>
      <w:pPr>
        <w:pStyle w:val="Normal"/>
        <w:ind w:left="720" w:hanging="0"/>
        <w:jc w:val="both"/>
        <w:rPr>
          <w:rFonts w:cs="Calibri"/>
          <w:b/>
          <w:b/>
          <w:szCs w:val="24"/>
        </w:rPr>
      </w:pPr>
      <w:r>
        <w:rPr>
          <w:rFonts w:cs="Calibri"/>
          <w:b/>
          <w:szCs w:val="24"/>
        </w:rPr>
      </w:r>
    </w:p>
    <w:p>
      <w:pPr>
        <w:pStyle w:val="Normal"/>
        <w:ind w:left="720" w:hanging="0"/>
        <w:jc w:val="both"/>
        <w:rPr>
          <w:rFonts w:cs="Calibri"/>
          <w:b/>
          <w:b/>
          <w:szCs w:val="24"/>
        </w:rPr>
      </w:pPr>
      <w:r>
        <w:rPr>
          <w:rFonts w:cs="Calibri"/>
          <w:szCs w:val="24"/>
        </w:rPr>
        <w:t>Minister właściwy ds. pracy określił następujące priorytety wydatkowania KFS w 2022 r.:</w:t>
      </w:r>
    </w:p>
    <w:p>
      <w:pPr>
        <w:pStyle w:val="Normal"/>
        <w:widowControl/>
        <w:numPr>
          <w:ilvl w:val="0"/>
          <w:numId w:val="10"/>
        </w:numPr>
        <w:suppressAutoHyphens w:val="false"/>
        <w:spacing w:lineRule="auto" w:line="276"/>
        <w:jc w:val="both"/>
        <w:rPr>
          <w:rFonts w:cs="Calibri"/>
          <w:b/>
          <w:b/>
          <w:szCs w:val="24"/>
        </w:rPr>
      </w:pPr>
      <w:r>
        <w:rPr>
          <w:rFonts w:cs="Calibri"/>
          <w:szCs w:val="24"/>
        </w:rPr>
        <w:t>wsparcie kształcenia ustawicznego osób zatrudnionych w firmach, które na skutek pandemii COVID-19, musiały podjąć działania w celu dostosowania się do zmienionej sytuacji rynkowej,</w:t>
      </w:r>
    </w:p>
    <w:p>
      <w:pPr>
        <w:pStyle w:val="Normal"/>
        <w:widowControl/>
        <w:numPr>
          <w:ilvl w:val="0"/>
          <w:numId w:val="10"/>
        </w:numPr>
        <w:suppressAutoHyphens w:val="false"/>
        <w:spacing w:lineRule="auto" w:line="276"/>
        <w:jc w:val="both"/>
        <w:rPr>
          <w:rFonts w:cs="Calibri"/>
          <w:b/>
          <w:b/>
          <w:szCs w:val="24"/>
        </w:rPr>
      </w:pPr>
      <w:r>
        <w:rPr>
          <w:rFonts w:cs="Calibri"/>
          <w:szCs w:val="24"/>
        </w:rPr>
        <w:t>wsparcie kształcenia ustawicznego osób powracających na rynek pracy po przerwie związanej ze sprawowaniem opieki nad dzieckiem,</w:t>
      </w:r>
    </w:p>
    <w:p>
      <w:pPr>
        <w:pStyle w:val="Normal"/>
        <w:widowControl/>
        <w:numPr>
          <w:ilvl w:val="0"/>
          <w:numId w:val="10"/>
        </w:numPr>
        <w:suppressAutoHyphens w:val="false"/>
        <w:spacing w:lineRule="auto" w:line="276"/>
        <w:jc w:val="both"/>
        <w:rPr>
          <w:rFonts w:cs="Calibri"/>
          <w:b/>
          <w:b/>
          <w:szCs w:val="24"/>
        </w:rPr>
      </w:pPr>
      <w:r>
        <w:rPr>
          <w:rFonts w:cs="Calibri"/>
          <w:szCs w:val="24"/>
        </w:rPr>
        <w:t>wsparcie kształcenia ustawicznego w zidentyfikowanych w danym powiecie lub województwie zawodach deficytowych,</w:t>
      </w:r>
    </w:p>
    <w:p>
      <w:pPr>
        <w:pStyle w:val="Normal"/>
        <w:widowControl/>
        <w:numPr>
          <w:ilvl w:val="0"/>
          <w:numId w:val="10"/>
        </w:numPr>
        <w:suppressAutoHyphens w:val="false"/>
        <w:spacing w:lineRule="auto" w:line="276"/>
        <w:jc w:val="both"/>
        <w:rPr>
          <w:rFonts w:cs="Calibri"/>
          <w:b/>
          <w:b/>
          <w:szCs w:val="24"/>
        </w:rPr>
      </w:pPr>
      <w:r>
        <w:rPr>
          <w:rFonts w:cs="Calibri"/>
          <w:szCs w:val="24"/>
        </w:rPr>
        <w:t>wsparcie kształcenia ustawicznego osób pracujących będących członkami rodzin wielodzietnych,</w:t>
      </w:r>
    </w:p>
    <w:p>
      <w:pPr>
        <w:pStyle w:val="Normal"/>
        <w:widowControl/>
        <w:numPr>
          <w:ilvl w:val="0"/>
          <w:numId w:val="10"/>
        </w:numPr>
        <w:suppressAutoHyphens w:val="false"/>
        <w:spacing w:lineRule="auto" w:line="276"/>
        <w:jc w:val="both"/>
        <w:rPr>
          <w:rFonts w:cs="Calibri"/>
          <w:b/>
          <w:b/>
          <w:szCs w:val="24"/>
        </w:rPr>
      </w:pPr>
      <w:r>
        <w:rPr>
          <w:rFonts w:cs="Calibri"/>
          <w:szCs w:val="24"/>
        </w:rPr>
        <w:t>wsparcie kształcenia ustawicznego pracowników Centrów Integracji Społecznej, Klubów Integracji Społecznej, Warsztatów Terapii Zajęciowej, Zakładów Aktywności Zawodowej, członków lub pracowników spółdzielni socjalnych oraz pracowników zatrudnionych w podmiotach posiadających status przedsiębiorstwa społecznego wskazanych na liście / rejestrze przedsiębiorstw społecznych prowadzonych przez MRiPS,</w:t>
      </w:r>
    </w:p>
    <w:p>
      <w:pPr>
        <w:pStyle w:val="Normal"/>
        <w:widowControl/>
        <w:numPr>
          <w:ilvl w:val="0"/>
          <w:numId w:val="10"/>
        </w:numPr>
        <w:suppressAutoHyphens w:val="false"/>
        <w:spacing w:lineRule="auto" w:line="276"/>
        <w:jc w:val="both"/>
        <w:rPr>
          <w:rFonts w:cs="Calibri"/>
          <w:b/>
          <w:b/>
          <w:szCs w:val="24"/>
        </w:rPr>
      </w:pPr>
      <w:r>
        <w:rPr>
          <w:rFonts w:cs="Calibri"/>
          <w:szCs w:val="24"/>
        </w:rPr>
        <w:t>wsparcie kształcenia ustawicznego w związku z zastosowaniem w firmach nowych technologii i narzędzi pracy, w tym także technologii i narzędzi cyfrowych oraz podnoszenie kompetencji cyfrowych,</w:t>
      </w:r>
    </w:p>
    <w:p>
      <w:pPr>
        <w:pStyle w:val="Normal"/>
        <w:widowControl/>
        <w:numPr>
          <w:ilvl w:val="0"/>
          <w:numId w:val="10"/>
        </w:numPr>
        <w:suppressAutoHyphens w:val="false"/>
        <w:spacing w:lineRule="auto" w:line="276"/>
        <w:jc w:val="both"/>
        <w:rPr>
          <w:rFonts w:cs="Calibri"/>
          <w:b/>
          <w:b/>
          <w:szCs w:val="24"/>
        </w:rPr>
      </w:pPr>
      <w:r>
        <w:rPr>
          <w:rFonts w:cs="Calibri"/>
          <w:szCs w:val="24"/>
        </w:rPr>
        <w:t xml:space="preserve">wsparcie kształcenia ustawicznego osób pracujących w branży motoryzacyjnej. </w:t>
      </w:r>
    </w:p>
    <w:p>
      <w:pPr>
        <w:pStyle w:val="Normal"/>
        <w:ind w:left="142" w:hanging="142"/>
        <w:jc w:val="both"/>
        <w:rPr>
          <w:rFonts w:cs="Calibri"/>
          <w:szCs w:val="24"/>
        </w:rPr>
      </w:pPr>
      <w:r>
        <w:rPr>
          <w:rFonts w:cs="Calibri"/>
          <w:szCs w:val="24"/>
        </w:rPr>
      </w:r>
    </w:p>
    <w:p>
      <w:pPr>
        <w:pStyle w:val="Normal"/>
        <w:ind w:left="708" w:hanging="0"/>
        <w:jc w:val="both"/>
        <w:rPr>
          <w:rFonts w:cs="Calibri"/>
          <w:szCs w:val="24"/>
        </w:rPr>
      </w:pPr>
      <w:r>
        <w:rPr>
          <w:rFonts w:cs="Calibri"/>
          <w:szCs w:val="24"/>
        </w:rPr>
        <w:t>Powyższe oznacza, że wsparcie w ramach KFS otrzymają pracodawcy, których wnioski spełniać będą wymagania określone przynajmniej w jednym z przyjętych priorytetów.</w:t>
      </w:r>
    </w:p>
    <w:p>
      <w:pPr>
        <w:pStyle w:val="Normal"/>
        <w:ind w:left="708" w:hanging="0"/>
        <w:jc w:val="both"/>
        <w:rPr>
          <w:rFonts w:cs="Calibri"/>
          <w:szCs w:val="24"/>
        </w:rPr>
      </w:pPr>
      <w:r>
        <w:rPr>
          <w:rFonts w:cs="Calibri"/>
          <w:szCs w:val="24"/>
        </w:rPr>
        <w:t>Urząd może rozpatrzyć pozytywnie wniosek pracodawcy, który nie wpisuje się w żaden z priorytetów ministra pod warunkiem, że pozostaną w jego dyspozycji środki po rozpatrzeniu wniosków spełniających priorytety. Decyzja dotycząca liczby ogłaszanych naborów – a co za tym idzie ewentualnego ich powtarzania – należy do Urzędu.</w:t>
      </w:r>
    </w:p>
    <w:p>
      <w:pPr>
        <w:pStyle w:val="Normal"/>
        <w:jc w:val="both"/>
        <w:rPr>
          <w:rFonts w:cs="Calibri"/>
          <w:szCs w:val="24"/>
        </w:rPr>
      </w:pPr>
      <w:r>
        <w:rPr>
          <w:rFonts w:cs="Calibri"/>
          <w:szCs w:val="24"/>
        </w:rPr>
      </w:r>
    </w:p>
    <w:p>
      <w:pPr>
        <w:pStyle w:val="Normal"/>
        <w:widowControl/>
        <w:numPr>
          <w:ilvl w:val="0"/>
          <w:numId w:val="9"/>
        </w:numPr>
        <w:suppressAutoHyphens w:val="false"/>
        <w:spacing w:lineRule="auto" w:line="276"/>
        <w:jc w:val="both"/>
        <w:rPr>
          <w:rFonts w:cs="Calibri"/>
          <w:b/>
          <w:b/>
          <w:sz w:val="28"/>
          <w:szCs w:val="24"/>
        </w:rPr>
      </w:pPr>
      <w:r>
        <w:rPr>
          <w:rFonts w:cs="Calibri"/>
          <w:b/>
          <w:sz w:val="28"/>
          <w:szCs w:val="24"/>
        </w:rPr>
        <w:t>Rehabilitacja zawodowa osób niepełnosprawnych – środki PFRON</w:t>
      </w:r>
    </w:p>
    <w:p>
      <w:pPr>
        <w:pStyle w:val="Normal"/>
        <w:ind w:left="720" w:hanging="0"/>
        <w:jc w:val="both"/>
        <w:rPr>
          <w:rFonts w:cs="Calibri"/>
          <w:b/>
          <w:b/>
          <w:szCs w:val="24"/>
        </w:rPr>
      </w:pPr>
      <w:r>
        <w:rPr>
          <w:rFonts w:cs="Calibri"/>
          <w:szCs w:val="24"/>
        </w:rPr>
        <w:t>Na realizację zadań z zakresu rehabilitacji zawodowej osób niepełnosprawnych na 2022 r. Urząd jeszcze nie otrzymał środków finansowych. Szacujemy, że wzorem lat ubiegłych, środki przyznane zostaną w wysokości zbliżonej do kwoty z roku poprzedniego. Wówczas Urząd dysponować będzie kwotą środków FRON w wysokości ok</w:t>
      </w:r>
      <w:r>
        <w:rPr>
          <w:rFonts w:cs="Calibri"/>
          <w:b/>
          <w:szCs w:val="24"/>
        </w:rPr>
        <w:t>. 550.000,00 zł.</w:t>
      </w:r>
    </w:p>
    <w:p>
      <w:pPr>
        <w:pStyle w:val="Normal"/>
        <w:ind w:left="720" w:hanging="0"/>
        <w:jc w:val="both"/>
        <w:rPr>
          <w:rFonts w:cs="Calibri"/>
          <w:b/>
          <w:b/>
          <w:sz w:val="28"/>
          <w:szCs w:val="24"/>
        </w:rPr>
      </w:pPr>
      <w:r>
        <w:rPr>
          <w:rFonts w:cs="Calibri"/>
          <w:b/>
          <w:sz w:val="28"/>
          <w:szCs w:val="24"/>
        </w:rPr>
      </w:r>
    </w:p>
    <w:p>
      <w:pPr>
        <w:pStyle w:val="Normal"/>
        <w:ind w:left="720" w:hanging="0"/>
        <w:jc w:val="both"/>
        <w:rPr>
          <w:rFonts w:cs="Calibri"/>
          <w:szCs w:val="24"/>
        </w:rPr>
      </w:pPr>
      <w:r>
        <w:rPr>
          <w:rFonts w:cs="Calibri"/>
          <w:szCs w:val="24"/>
        </w:rPr>
        <w:t xml:space="preserve">W/w środki pozwolą na aktywizację zawodową ok. 15 osób niepełnosprawnych   w zakresie: </w:t>
      </w:r>
    </w:p>
    <w:p>
      <w:pPr>
        <w:pStyle w:val="Normal"/>
        <w:widowControl/>
        <w:numPr>
          <w:ilvl w:val="0"/>
          <w:numId w:val="11"/>
        </w:numPr>
        <w:suppressAutoHyphens w:val="false"/>
        <w:spacing w:lineRule="auto" w:line="276"/>
        <w:jc w:val="both"/>
        <w:rPr>
          <w:rFonts w:cs="Calibri"/>
          <w:szCs w:val="24"/>
        </w:rPr>
      </w:pPr>
      <w:r>
        <w:rPr>
          <w:rFonts w:cs="Calibri"/>
          <w:szCs w:val="24"/>
        </w:rPr>
        <w:t>wsparcia dla osób zdecydowanych na uruchomienie własnej działalności gospodarczej,</w:t>
      </w:r>
    </w:p>
    <w:p>
      <w:pPr>
        <w:pStyle w:val="Normal"/>
        <w:widowControl/>
        <w:numPr>
          <w:ilvl w:val="0"/>
          <w:numId w:val="11"/>
        </w:numPr>
        <w:suppressAutoHyphens w:val="false"/>
        <w:spacing w:lineRule="auto" w:line="276"/>
        <w:jc w:val="both"/>
        <w:rPr>
          <w:rFonts w:cs="Calibri"/>
          <w:szCs w:val="24"/>
        </w:rPr>
      </w:pPr>
      <w:r>
        <w:rPr>
          <w:rFonts w:cs="Calibri"/>
          <w:szCs w:val="24"/>
        </w:rPr>
        <w:t>wsparcia pracodawców tworzących miejsca pracy dla osób niepełnosprawnych,</w:t>
      </w:r>
    </w:p>
    <w:p>
      <w:pPr>
        <w:pStyle w:val="Normal"/>
        <w:widowControl/>
        <w:numPr>
          <w:ilvl w:val="0"/>
          <w:numId w:val="11"/>
        </w:numPr>
        <w:suppressAutoHyphens w:val="false"/>
        <w:spacing w:lineRule="auto" w:line="276"/>
        <w:jc w:val="both"/>
        <w:rPr>
          <w:rFonts w:cs="Calibri"/>
          <w:szCs w:val="24"/>
        </w:rPr>
      </w:pPr>
      <w:r>
        <w:rPr>
          <w:rFonts w:cs="Calibri"/>
          <w:szCs w:val="24"/>
        </w:rPr>
        <w:t>refundacji kosztów wyposażenia lub doposażenia stanowiska pracy,</w:t>
      </w:r>
    </w:p>
    <w:p>
      <w:pPr>
        <w:pStyle w:val="Normal"/>
        <w:widowControl/>
        <w:numPr>
          <w:ilvl w:val="0"/>
          <w:numId w:val="11"/>
        </w:numPr>
        <w:suppressAutoHyphens w:val="false"/>
        <w:spacing w:lineRule="auto" w:line="276"/>
        <w:jc w:val="both"/>
        <w:rPr>
          <w:rFonts w:cs="Calibri"/>
          <w:szCs w:val="24"/>
        </w:rPr>
      </w:pPr>
      <w:r>
        <w:rPr>
          <w:rFonts w:cs="Calibri"/>
          <w:szCs w:val="24"/>
        </w:rPr>
        <w:t>finansowania staży umożliwiających zdobycie doświadczenia w praktycznym wykonywaniu zawodu,</w:t>
      </w:r>
    </w:p>
    <w:p>
      <w:pPr>
        <w:pStyle w:val="Normal"/>
        <w:widowControl/>
        <w:numPr>
          <w:ilvl w:val="0"/>
          <w:numId w:val="11"/>
        </w:numPr>
        <w:suppressAutoHyphens w:val="false"/>
        <w:spacing w:lineRule="auto" w:line="276"/>
        <w:jc w:val="both"/>
        <w:rPr>
          <w:rFonts w:cs="Calibri"/>
          <w:szCs w:val="24"/>
        </w:rPr>
      </w:pPr>
      <w:r>
        <w:rPr>
          <w:rFonts w:cs="Calibri"/>
          <w:szCs w:val="24"/>
        </w:rPr>
        <w:t>finansowania szkoleń zawodowych zwiększających szanse na powrót do aktywności zawodowej.</w:t>
      </w:r>
    </w:p>
    <w:p>
      <w:pPr>
        <w:pStyle w:val="Normal"/>
        <w:jc w:val="both"/>
        <w:rPr>
          <w:rFonts w:cs="Calibri"/>
          <w:szCs w:val="24"/>
        </w:rPr>
      </w:pPr>
      <w:r>
        <w:rPr>
          <w:rFonts w:cs="Calibri"/>
          <w:szCs w:val="24"/>
        </w:rPr>
      </w:r>
    </w:p>
    <w:p>
      <w:pPr>
        <w:pStyle w:val="Normal"/>
        <w:jc w:val="both"/>
        <w:rPr>
          <w:rFonts w:cs="Calibri"/>
          <w:szCs w:val="24"/>
        </w:rPr>
      </w:pPr>
      <w:r>
        <w:rPr>
          <w:rFonts w:cs="Calibri"/>
          <w:szCs w:val="24"/>
        </w:rPr>
      </w:r>
    </w:p>
    <w:p>
      <w:pPr>
        <w:pStyle w:val="Normal"/>
        <w:widowControl/>
        <w:numPr>
          <w:ilvl w:val="0"/>
          <w:numId w:val="9"/>
        </w:numPr>
        <w:suppressAutoHyphens w:val="false"/>
        <w:spacing w:lineRule="auto" w:line="276"/>
        <w:jc w:val="both"/>
        <w:rPr>
          <w:rFonts w:cs="Calibri"/>
          <w:b/>
          <w:b/>
          <w:sz w:val="28"/>
          <w:szCs w:val="24"/>
        </w:rPr>
      </w:pPr>
      <w:r>
        <w:rPr>
          <w:rFonts w:cs="Calibri"/>
          <w:b/>
          <w:sz w:val="28"/>
          <w:szCs w:val="24"/>
        </w:rPr>
        <w:t>Działania w ramach projektów współfinansowanych ze środków Unii Europejskiej z Europejskiego Funduszu Społecznego (EFS)</w:t>
      </w:r>
    </w:p>
    <w:p>
      <w:pPr>
        <w:pStyle w:val="Normal"/>
        <w:ind w:left="720" w:hanging="0"/>
        <w:jc w:val="both"/>
        <w:rPr>
          <w:rFonts w:cs="Calibri"/>
          <w:b/>
          <w:b/>
          <w:sz w:val="28"/>
          <w:szCs w:val="24"/>
        </w:rPr>
      </w:pPr>
      <w:r>
        <w:rPr>
          <w:rFonts w:cs="Calibri"/>
          <w:b/>
          <w:sz w:val="28"/>
          <w:szCs w:val="24"/>
        </w:rPr>
      </w:r>
    </w:p>
    <w:p>
      <w:pPr>
        <w:pStyle w:val="Normal"/>
        <w:ind w:left="720" w:hanging="0"/>
        <w:jc w:val="both"/>
        <w:rPr>
          <w:rFonts w:cs="Calibri"/>
          <w:b/>
          <w:b/>
          <w:sz w:val="28"/>
          <w:szCs w:val="24"/>
        </w:rPr>
      </w:pPr>
      <w:r>
        <w:rPr>
          <w:rFonts w:cs="Calibri"/>
          <w:szCs w:val="24"/>
        </w:rPr>
        <w:t xml:space="preserve">W 2022 r. Urząd będzie kontynuował realizację pięciu projektów dofinansowanych ze środków europejskich. Trzy z nich są skierowane do osób powyżej 30 roku życia i są realizowane w ramach Regionalnego Programu Operacyjnego Województwa Śląskiego na lata 2014-2020, a dwa dedykowane są ludziom młodym poniżej 30 roku życia, w ramach Programu Operacyjnego Wiedza Edukacja Rozwój.  </w:t>
      </w:r>
    </w:p>
    <w:p>
      <w:pPr>
        <w:pStyle w:val="Normal"/>
        <w:ind w:left="720" w:hanging="0"/>
        <w:jc w:val="both"/>
        <w:rPr>
          <w:rFonts w:cs="Calibri"/>
          <w:b/>
          <w:b/>
          <w:sz w:val="28"/>
          <w:szCs w:val="24"/>
        </w:rPr>
      </w:pPr>
      <w:r>
        <w:rPr>
          <w:rFonts w:cs="Calibri"/>
          <w:b/>
          <w:sz w:val="28"/>
          <w:szCs w:val="24"/>
        </w:rPr>
      </w:r>
    </w:p>
    <w:p>
      <w:pPr>
        <w:pStyle w:val="Normal"/>
        <w:ind w:left="720" w:hanging="0"/>
        <w:jc w:val="both"/>
        <w:rPr>
          <w:rFonts w:cs="Calibri"/>
          <w:szCs w:val="24"/>
        </w:rPr>
      </w:pPr>
      <w:r>
        <w:rPr>
          <w:rFonts w:cs="Calibri"/>
          <w:szCs w:val="24"/>
        </w:rPr>
        <w:t xml:space="preserve">Celem wszystkich projektów jest wsparcie osób bezrobotnych zarejestrowanych w Urzędzie w znalezieniu zatrudnienia, podniesieniu kwalifikacji lub podjęciu działalności gospodarczej. Działaniami projektowymi obejmowane są przede wszystkim osoby mające największe trudności w wejściu lub powrocie na rynek pracy, tj.: </w:t>
      </w:r>
    </w:p>
    <w:p>
      <w:pPr>
        <w:pStyle w:val="Normal"/>
        <w:widowControl/>
        <w:numPr>
          <w:ilvl w:val="0"/>
          <w:numId w:val="13"/>
        </w:numPr>
        <w:suppressAutoHyphens w:val="false"/>
        <w:spacing w:lineRule="auto" w:line="276"/>
        <w:jc w:val="both"/>
        <w:rPr>
          <w:rFonts w:cs="Calibri"/>
          <w:b/>
          <w:b/>
          <w:sz w:val="28"/>
          <w:szCs w:val="24"/>
        </w:rPr>
      </w:pPr>
      <w:r>
        <w:rPr>
          <w:rFonts w:cs="Calibri"/>
          <w:szCs w:val="24"/>
        </w:rPr>
        <w:t xml:space="preserve">długotrwale bezrobotne, </w:t>
      </w:r>
    </w:p>
    <w:p>
      <w:pPr>
        <w:pStyle w:val="Normal"/>
        <w:widowControl/>
        <w:numPr>
          <w:ilvl w:val="0"/>
          <w:numId w:val="13"/>
        </w:numPr>
        <w:suppressAutoHyphens w:val="false"/>
        <w:spacing w:lineRule="auto" w:line="276"/>
        <w:jc w:val="both"/>
        <w:rPr>
          <w:rFonts w:cs="Calibri"/>
          <w:b/>
          <w:b/>
          <w:sz w:val="28"/>
          <w:szCs w:val="24"/>
        </w:rPr>
      </w:pPr>
      <w:r>
        <w:rPr>
          <w:rFonts w:cs="Calibri"/>
          <w:szCs w:val="24"/>
        </w:rPr>
        <w:t xml:space="preserve">z niskimi kwalifikacjami, </w:t>
      </w:r>
    </w:p>
    <w:p>
      <w:pPr>
        <w:pStyle w:val="Normal"/>
        <w:widowControl/>
        <w:numPr>
          <w:ilvl w:val="0"/>
          <w:numId w:val="13"/>
        </w:numPr>
        <w:suppressAutoHyphens w:val="false"/>
        <w:spacing w:lineRule="auto" w:line="276"/>
        <w:jc w:val="both"/>
        <w:rPr>
          <w:rFonts w:cs="Calibri"/>
          <w:b/>
          <w:b/>
          <w:sz w:val="28"/>
          <w:szCs w:val="24"/>
        </w:rPr>
      </w:pPr>
      <w:r>
        <w:rPr>
          <w:rFonts w:cs="Calibri"/>
          <w:szCs w:val="24"/>
        </w:rPr>
        <w:t xml:space="preserve">z niepełnosprawnościami, </w:t>
      </w:r>
    </w:p>
    <w:p>
      <w:pPr>
        <w:pStyle w:val="Normal"/>
        <w:widowControl/>
        <w:numPr>
          <w:ilvl w:val="0"/>
          <w:numId w:val="13"/>
        </w:numPr>
        <w:suppressAutoHyphens w:val="false"/>
        <w:spacing w:lineRule="auto" w:line="276"/>
        <w:jc w:val="both"/>
        <w:rPr>
          <w:rFonts w:cs="Calibri"/>
          <w:b/>
          <w:b/>
          <w:sz w:val="28"/>
          <w:szCs w:val="24"/>
        </w:rPr>
      </w:pPr>
      <w:r>
        <w:rPr>
          <w:rFonts w:cs="Calibri"/>
          <w:szCs w:val="24"/>
        </w:rPr>
        <w:t xml:space="preserve">kobiety, </w:t>
      </w:r>
    </w:p>
    <w:p>
      <w:pPr>
        <w:pStyle w:val="Normal"/>
        <w:widowControl/>
        <w:numPr>
          <w:ilvl w:val="0"/>
          <w:numId w:val="13"/>
        </w:numPr>
        <w:suppressAutoHyphens w:val="false"/>
        <w:spacing w:lineRule="auto" w:line="276"/>
        <w:jc w:val="both"/>
        <w:rPr>
          <w:rFonts w:cs="Calibri"/>
          <w:b/>
          <w:b/>
          <w:sz w:val="28"/>
          <w:szCs w:val="24"/>
        </w:rPr>
      </w:pPr>
      <w:r>
        <w:rPr>
          <w:rFonts w:cs="Calibri"/>
          <w:szCs w:val="24"/>
        </w:rPr>
        <w:t xml:space="preserve">w wieku 50+ oraz </w:t>
      </w:r>
    </w:p>
    <w:p>
      <w:pPr>
        <w:pStyle w:val="Normal"/>
        <w:widowControl/>
        <w:numPr>
          <w:ilvl w:val="0"/>
          <w:numId w:val="13"/>
        </w:numPr>
        <w:suppressAutoHyphens w:val="false"/>
        <w:spacing w:lineRule="auto" w:line="276"/>
        <w:jc w:val="both"/>
        <w:rPr>
          <w:rFonts w:cs="Calibri"/>
          <w:b/>
          <w:b/>
          <w:sz w:val="28"/>
          <w:szCs w:val="24"/>
        </w:rPr>
      </w:pPr>
      <w:r>
        <w:rPr>
          <w:rFonts w:cs="Calibri"/>
          <w:szCs w:val="24"/>
        </w:rPr>
        <w:t xml:space="preserve">młodzi bezrobotni do 30 roku życia, należący do tzw. kategorii NEET (nie pracują i nie uczą się w szkole lub na kursach). </w:t>
      </w:r>
    </w:p>
    <w:p>
      <w:pPr>
        <w:pStyle w:val="Normal"/>
        <w:ind w:left="708" w:hanging="0"/>
        <w:jc w:val="both"/>
        <w:rPr>
          <w:rFonts w:cs="Calibri"/>
          <w:b/>
          <w:b/>
          <w:sz w:val="28"/>
          <w:szCs w:val="24"/>
        </w:rPr>
      </w:pPr>
      <w:r>
        <w:rPr>
          <w:rFonts w:cs="Calibri"/>
          <w:szCs w:val="24"/>
        </w:rPr>
        <w:t>Dodatkowo wsparcie w ramach jednego z projektów konkursowych dedykowane jest osobom młodym, dotkniętym utratą pracy z powodu epidemii COVID-19.</w:t>
      </w:r>
    </w:p>
    <w:p>
      <w:pPr>
        <w:pStyle w:val="Normal"/>
        <w:ind w:left="426" w:hanging="426"/>
        <w:jc w:val="both"/>
        <w:rPr>
          <w:rFonts w:cs="Calibri"/>
          <w:szCs w:val="24"/>
        </w:rPr>
      </w:pPr>
      <w:r>
        <w:rPr>
          <w:rFonts w:cs="Calibri"/>
          <w:szCs w:val="24"/>
        </w:rPr>
        <w:tab/>
      </w:r>
    </w:p>
    <w:p>
      <w:pPr>
        <w:pStyle w:val="Normal"/>
        <w:ind w:left="708" w:hanging="0"/>
        <w:jc w:val="both"/>
        <w:rPr>
          <w:rFonts w:cs="Calibri"/>
          <w:szCs w:val="24"/>
        </w:rPr>
      </w:pPr>
      <w:r>
        <w:rPr>
          <w:rFonts w:cs="Calibri"/>
          <w:szCs w:val="24"/>
        </w:rPr>
        <w:t>Informacje dotyczące dwóch projektów pozakonkursowych zostały uwzględnione w tabelach części II i III. Poniższe dane dotyczą trzech projektów konkursowych.</w:t>
      </w:r>
    </w:p>
    <w:p>
      <w:pPr>
        <w:pStyle w:val="Normal"/>
        <w:ind w:left="709" w:hanging="0"/>
        <w:jc w:val="both"/>
        <w:rPr>
          <w:rFonts w:cs="Calibri"/>
          <w:b/>
          <w:b/>
          <w:szCs w:val="24"/>
        </w:rPr>
      </w:pPr>
      <w:r>
        <w:rPr>
          <w:rFonts w:cs="Calibri"/>
          <w:b/>
          <w:szCs w:val="24"/>
        </w:rPr>
        <w:t xml:space="preserve"> </w:t>
      </w:r>
    </w:p>
    <w:p>
      <w:pPr>
        <w:pStyle w:val="ListParagraph"/>
        <w:widowControl/>
        <w:numPr>
          <w:ilvl w:val="0"/>
          <w:numId w:val="12"/>
        </w:numPr>
        <w:suppressAutoHyphens w:val="false"/>
        <w:spacing w:lineRule="auto" w:line="276" w:before="0" w:after="200"/>
        <w:jc w:val="both"/>
        <w:rPr>
          <w:rFonts w:cs="Calibri"/>
          <w:szCs w:val="24"/>
        </w:rPr>
      </w:pPr>
      <w:r>
        <w:rPr>
          <w:rFonts w:cs="Calibri"/>
          <w:b/>
          <w:szCs w:val="24"/>
        </w:rPr>
        <w:t>Projekt pn. „Wejdź do gry, bądź aktywny zawodowo”</w:t>
      </w:r>
      <w:r>
        <w:rPr>
          <w:rFonts w:cs="Calibri"/>
          <w:szCs w:val="24"/>
        </w:rPr>
        <w:t xml:space="preserve"> – Poddziałanie 7.1.1 RPO WSL. Projekt realizowany będzie we współpracy z Urzędem Miejskim w Sosnowcu.</w:t>
      </w:r>
    </w:p>
    <w:p>
      <w:pPr>
        <w:pStyle w:val="ListParagraph"/>
        <w:ind w:left="1146" w:hanging="0"/>
        <w:jc w:val="both"/>
        <w:rPr>
          <w:rFonts w:cs="Calibri"/>
          <w:szCs w:val="24"/>
        </w:rPr>
      </w:pPr>
      <w:r>
        <w:rPr>
          <w:rFonts w:cs="Calibri"/>
          <w:b/>
          <w:szCs w:val="24"/>
        </w:rPr>
        <w:t>Okres realizacji</w:t>
      </w:r>
      <w:r>
        <w:rPr>
          <w:rFonts w:cs="Calibri"/>
          <w:szCs w:val="24"/>
        </w:rPr>
        <w:t>: 01.09.2020 – 31.08.2022.</w:t>
      </w:r>
    </w:p>
    <w:p>
      <w:pPr>
        <w:pStyle w:val="ListParagraph"/>
        <w:ind w:left="1146" w:hanging="0"/>
        <w:jc w:val="both"/>
        <w:rPr>
          <w:rFonts w:cs="Calibri"/>
          <w:b/>
          <w:b/>
          <w:szCs w:val="24"/>
        </w:rPr>
      </w:pPr>
      <w:r>
        <w:rPr>
          <w:rFonts w:cs="Calibri"/>
          <w:b/>
          <w:szCs w:val="24"/>
        </w:rPr>
      </w:r>
    </w:p>
    <w:p>
      <w:pPr>
        <w:pStyle w:val="ListParagraph"/>
        <w:ind w:left="1146" w:hanging="0"/>
        <w:jc w:val="both"/>
        <w:rPr>
          <w:rFonts w:cs="Calibri"/>
          <w:szCs w:val="24"/>
        </w:rPr>
      </w:pPr>
      <w:r>
        <w:rPr>
          <w:rFonts w:cs="Calibri"/>
          <w:b/>
          <w:szCs w:val="24"/>
        </w:rPr>
        <w:t>Adresaci wsparcia:</w:t>
      </w:r>
      <w:r>
        <w:rPr>
          <w:rFonts w:cs="Calibri"/>
          <w:szCs w:val="24"/>
        </w:rPr>
        <w:t xml:space="preserve"> 81 osób bezrobotnych w wieku 30+ będących jednocześnie w najtrudniejszej sytuacji na rynku pracy, tj. posiadających niskie kwalifikacje, bezrobotnych długotrwale, niepełnosprawnych, osób w wieku 50+ oraz kobiet (45 osób).</w:t>
      </w:r>
    </w:p>
    <w:p>
      <w:pPr>
        <w:pStyle w:val="ListParagraph"/>
        <w:ind w:left="1146" w:hanging="0"/>
        <w:jc w:val="both"/>
        <w:rPr>
          <w:rFonts w:cs="Calibri"/>
          <w:b/>
          <w:b/>
          <w:szCs w:val="24"/>
        </w:rPr>
      </w:pPr>
      <w:r>
        <w:rPr>
          <w:rFonts w:cs="Calibri"/>
          <w:b/>
          <w:szCs w:val="24"/>
        </w:rPr>
      </w:r>
    </w:p>
    <w:p>
      <w:pPr>
        <w:pStyle w:val="ListParagraph"/>
        <w:ind w:left="1146" w:hanging="0"/>
        <w:jc w:val="both"/>
        <w:rPr>
          <w:rFonts w:cs="Calibri"/>
          <w:szCs w:val="24"/>
        </w:rPr>
      </w:pPr>
      <w:r>
        <w:rPr>
          <w:rFonts w:cs="Calibri"/>
          <w:b/>
          <w:szCs w:val="24"/>
        </w:rPr>
        <w:t>Ogólna wartość projektu:</w:t>
      </w:r>
      <w:r>
        <w:rPr>
          <w:rFonts w:cs="Calibri"/>
          <w:szCs w:val="24"/>
        </w:rPr>
        <w:t xml:space="preserve"> 1.289.844,00 zł, z czego budżet dla Powiatowego Urzędu Pracy w Sosnowcu wynosi 869.004,00 zł. Wkład własny na rzecz projektu wniesie w całości Urząd ze środków Funduszu Pracy</w:t>
      </w:r>
      <w:r>
        <w:rPr>
          <w:rFonts w:cs="Calibri"/>
          <w:b/>
          <w:szCs w:val="24"/>
        </w:rPr>
        <w:t xml:space="preserve"> </w:t>
      </w:r>
      <w:r>
        <w:rPr>
          <w:rFonts w:cs="Calibri"/>
          <w:szCs w:val="24"/>
        </w:rPr>
        <w:t>w wysokości 64.492,20 zł.</w:t>
      </w:r>
    </w:p>
    <w:p>
      <w:pPr>
        <w:pStyle w:val="ListParagraph"/>
        <w:ind w:left="1146" w:hanging="0"/>
        <w:jc w:val="both"/>
        <w:rPr>
          <w:rFonts w:cs="Calibri"/>
          <w:b/>
          <w:b/>
          <w:szCs w:val="24"/>
        </w:rPr>
      </w:pPr>
      <w:r>
        <w:rPr>
          <w:rFonts w:cs="Calibri"/>
          <w:b/>
          <w:szCs w:val="24"/>
        </w:rPr>
      </w:r>
    </w:p>
    <w:p>
      <w:pPr>
        <w:pStyle w:val="ListParagraph"/>
        <w:ind w:left="1146" w:hanging="0"/>
        <w:jc w:val="both"/>
        <w:rPr>
          <w:rFonts w:cs="Calibri"/>
          <w:szCs w:val="24"/>
        </w:rPr>
      </w:pPr>
      <w:r>
        <w:rPr>
          <w:rFonts w:cs="Calibri"/>
          <w:b/>
          <w:szCs w:val="24"/>
        </w:rPr>
        <w:t>Działania z zakresu aktywizacji zawodowej realizowane w ramach projektu:</w:t>
      </w:r>
    </w:p>
    <w:p>
      <w:pPr>
        <w:pStyle w:val="ListParagraph"/>
        <w:widowControl/>
        <w:numPr>
          <w:ilvl w:val="0"/>
          <w:numId w:val="14"/>
        </w:numPr>
        <w:suppressAutoHyphens w:val="false"/>
        <w:spacing w:lineRule="auto" w:line="276" w:before="0" w:after="200"/>
        <w:jc w:val="both"/>
        <w:rPr>
          <w:rFonts w:cs="Calibri"/>
          <w:szCs w:val="24"/>
        </w:rPr>
      </w:pPr>
      <w:r>
        <w:rPr>
          <w:rFonts w:cs="Calibri"/>
          <w:szCs w:val="24"/>
        </w:rPr>
        <w:t>wsparcie doradcy zawodowego w opracowaniu Indywidualnego Planu Działania oraz przygotowaniu do poszukiwania pracy (50 osób),</w:t>
      </w:r>
    </w:p>
    <w:p>
      <w:pPr>
        <w:pStyle w:val="ListParagraph"/>
        <w:widowControl/>
        <w:numPr>
          <w:ilvl w:val="0"/>
          <w:numId w:val="14"/>
        </w:numPr>
        <w:suppressAutoHyphens w:val="false"/>
        <w:spacing w:lineRule="auto" w:line="276" w:before="0" w:after="200"/>
        <w:jc w:val="both"/>
        <w:rPr>
          <w:rFonts w:cs="Calibri"/>
          <w:szCs w:val="24"/>
        </w:rPr>
      </w:pPr>
      <w:r>
        <w:rPr>
          <w:rFonts w:cs="Calibri"/>
          <w:szCs w:val="24"/>
        </w:rPr>
        <w:t>szkolenia specjalistyczne, nadające konkretne uprawnienia lub kwalifikacje zawodowe,</w:t>
      </w:r>
    </w:p>
    <w:p>
      <w:pPr>
        <w:pStyle w:val="ListParagraph"/>
        <w:widowControl/>
        <w:numPr>
          <w:ilvl w:val="0"/>
          <w:numId w:val="14"/>
        </w:numPr>
        <w:suppressAutoHyphens w:val="false"/>
        <w:spacing w:lineRule="auto" w:line="276" w:before="0" w:after="200"/>
        <w:jc w:val="both"/>
        <w:rPr>
          <w:rFonts w:cs="Calibri"/>
          <w:szCs w:val="24"/>
        </w:rPr>
      </w:pPr>
      <w:r>
        <w:rPr>
          <w:rFonts w:cs="Calibri"/>
          <w:szCs w:val="24"/>
        </w:rPr>
        <w:t xml:space="preserve">staże, </w:t>
      </w:r>
    </w:p>
    <w:p>
      <w:pPr>
        <w:pStyle w:val="ListParagraph"/>
        <w:widowControl/>
        <w:numPr>
          <w:ilvl w:val="0"/>
          <w:numId w:val="14"/>
        </w:numPr>
        <w:suppressAutoHyphens w:val="false"/>
        <w:spacing w:lineRule="auto" w:line="276" w:before="0" w:after="200"/>
        <w:jc w:val="both"/>
        <w:rPr>
          <w:rFonts w:cs="Calibri"/>
          <w:szCs w:val="24"/>
        </w:rPr>
      </w:pPr>
      <w:r>
        <w:rPr>
          <w:rFonts w:cs="Calibri"/>
          <w:szCs w:val="24"/>
        </w:rPr>
        <w:t>refundacja kosztów dojazdu na szkolenia i staże,</w:t>
      </w:r>
    </w:p>
    <w:p>
      <w:pPr>
        <w:pStyle w:val="ListParagraph"/>
        <w:widowControl/>
        <w:numPr>
          <w:ilvl w:val="0"/>
          <w:numId w:val="14"/>
        </w:numPr>
        <w:suppressAutoHyphens w:val="false"/>
        <w:spacing w:lineRule="auto" w:line="276" w:before="0" w:after="200"/>
        <w:jc w:val="both"/>
        <w:rPr>
          <w:rFonts w:cs="Calibri"/>
          <w:szCs w:val="24"/>
        </w:rPr>
      </w:pPr>
      <w:r>
        <w:rPr>
          <w:rFonts w:cs="Calibri"/>
          <w:szCs w:val="24"/>
        </w:rPr>
        <w:t>indywidualne pośrednictwo pracy w trakcie i po zakończeniu udziału w projekcie.</w:t>
        <w:tab/>
      </w:r>
    </w:p>
    <w:p>
      <w:pPr>
        <w:pStyle w:val="ListParagraph"/>
        <w:jc w:val="both"/>
        <w:rPr>
          <w:rFonts w:cs="Calibri"/>
          <w:szCs w:val="24"/>
        </w:rPr>
      </w:pPr>
      <w:r>
        <w:rPr>
          <w:rFonts w:cs="Calibri"/>
          <w:szCs w:val="24"/>
        </w:rPr>
      </w:r>
    </w:p>
    <w:p>
      <w:pPr>
        <w:pStyle w:val="ListParagraph"/>
        <w:widowControl/>
        <w:numPr>
          <w:ilvl w:val="0"/>
          <w:numId w:val="15"/>
        </w:numPr>
        <w:suppressAutoHyphens w:val="false"/>
        <w:spacing w:lineRule="auto" w:line="276" w:before="0" w:after="200"/>
        <w:ind w:left="1134" w:hanging="360"/>
        <w:jc w:val="both"/>
        <w:rPr>
          <w:rFonts w:cs="Calibri"/>
          <w:szCs w:val="24"/>
        </w:rPr>
      </w:pPr>
      <w:r>
        <w:rPr>
          <w:rFonts w:cs="Calibri"/>
          <w:b/>
          <w:szCs w:val="24"/>
        </w:rPr>
        <w:t>Projekt pn. „Kwalifikacje i doświadczenie perspektywą na zatrudnienie”</w:t>
      </w:r>
      <w:r>
        <w:rPr>
          <w:rFonts w:cs="Calibri"/>
          <w:szCs w:val="24"/>
        </w:rPr>
        <w:t xml:space="preserve"> – Poddziałanie 7.1.3 RPO WSL, ze specjalnej linii finansowej przeznaczonej na minimalizowanie negatywnych skutków społeczno – gospodarczych na tzw. Obszarach Strategicznej Interwencji (OSI). </w:t>
      </w:r>
    </w:p>
    <w:p>
      <w:pPr>
        <w:pStyle w:val="ListParagraph"/>
        <w:ind w:left="1134" w:hanging="0"/>
        <w:jc w:val="both"/>
        <w:rPr>
          <w:rFonts w:cs="Calibri"/>
          <w:szCs w:val="24"/>
        </w:rPr>
      </w:pPr>
      <w:r>
        <w:rPr>
          <w:rFonts w:cs="Calibri"/>
          <w:b/>
          <w:szCs w:val="24"/>
        </w:rPr>
        <w:t>Okres realizacji</w:t>
      </w:r>
      <w:r>
        <w:rPr>
          <w:rFonts w:cs="Calibri"/>
          <w:szCs w:val="24"/>
        </w:rPr>
        <w:t>: 01.09.2020 – 31.03.2022.</w:t>
      </w:r>
    </w:p>
    <w:p>
      <w:pPr>
        <w:pStyle w:val="ListParagraph"/>
        <w:ind w:left="1134" w:hanging="0"/>
        <w:jc w:val="both"/>
        <w:rPr>
          <w:rFonts w:cs="Calibri"/>
          <w:b/>
          <w:b/>
          <w:szCs w:val="24"/>
        </w:rPr>
      </w:pPr>
      <w:r>
        <w:rPr>
          <w:rFonts w:cs="Calibri"/>
          <w:b/>
          <w:szCs w:val="24"/>
        </w:rPr>
      </w:r>
    </w:p>
    <w:p>
      <w:pPr>
        <w:pStyle w:val="ListParagraph"/>
        <w:ind w:left="1134" w:hanging="0"/>
        <w:jc w:val="both"/>
        <w:rPr>
          <w:rFonts w:cs="Calibri"/>
          <w:szCs w:val="24"/>
        </w:rPr>
      </w:pPr>
      <w:r>
        <w:rPr>
          <w:rFonts w:cs="Calibri"/>
          <w:b/>
          <w:szCs w:val="24"/>
        </w:rPr>
        <w:t>Adresaci wsparcia:</w:t>
      </w:r>
      <w:r>
        <w:rPr>
          <w:rFonts w:cs="Calibri"/>
          <w:szCs w:val="24"/>
        </w:rPr>
        <w:t xml:space="preserve"> 34 osoby bezrobotne w wieku 30+ będące jednocześnie w najtrudniejszej sytuacji na rynku pracy, tj. posiadające niskie kwalifikacje, bezrobotni długotrwale, osoby z niepełnosprawnościami, osoby w wieku 50+ oraz kobiety (18 osób).</w:t>
      </w:r>
    </w:p>
    <w:p>
      <w:pPr>
        <w:pStyle w:val="ListParagraph"/>
        <w:ind w:left="1134" w:hanging="0"/>
        <w:jc w:val="both"/>
        <w:rPr>
          <w:rFonts w:cs="Calibri"/>
          <w:b/>
          <w:b/>
          <w:szCs w:val="24"/>
        </w:rPr>
      </w:pPr>
      <w:r>
        <w:rPr>
          <w:rFonts w:cs="Calibri"/>
          <w:b/>
          <w:szCs w:val="24"/>
        </w:rPr>
      </w:r>
    </w:p>
    <w:p>
      <w:pPr>
        <w:pStyle w:val="ListParagraph"/>
        <w:ind w:left="1134" w:hanging="0"/>
        <w:jc w:val="both"/>
        <w:rPr>
          <w:rFonts w:cs="Calibri"/>
          <w:szCs w:val="24"/>
        </w:rPr>
      </w:pPr>
      <w:r>
        <w:rPr>
          <w:rFonts w:cs="Calibri"/>
          <w:b/>
          <w:szCs w:val="24"/>
        </w:rPr>
        <w:t>Ogólna wartość projektu:</w:t>
      </w:r>
      <w:r>
        <w:rPr>
          <w:rFonts w:cs="Calibri"/>
          <w:szCs w:val="24"/>
        </w:rPr>
        <w:t xml:space="preserve"> 433.856,25 zł, w tym wkład własny w wysokości 21.692,81 zł z Funduszu Pracy.</w:t>
      </w:r>
    </w:p>
    <w:p>
      <w:pPr>
        <w:pStyle w:val="ListParagraph"/>
        <w:ind w:left="1146" w:hanging="0"/>
        <w:jc w:val="both"/>
        <w:rPr>
          <w:rFonts w:cs="Calibri"/>
          <w:b/>
          <w:b/>
          <w:szCs w:val="24"/>
        </w:rPr>
      </w:pPr>
      <w:r>
        <w:rPr>
          <w:rFonts w:cs="Calibri"/>
          <w:b/>
          <w:szCs w:val="24"/>
        </w:rPr>
      </w:r>
    </w:p>
    <w:p>
      <w:pPr>
        <w:pStyle w:val="ListParagraph"/>
        <w:ind w:left="1146" w:hanging="0"/>
        <w:jc w:val="both"/>
        <w:rPr>
          <w:rFonts w:cs="Calibri"/>
          <w:szCs w:val="24"/>
        </w:rPr>
      </w:pPr>
      <w:r>
        <w:rPr>
          <w:rFonts w:cs="Calibri"/>
          <w:b/>
          <w:szCs w:val="24"/>
        </w:rPr>
        <w:t>Działania z zakresu aktywizacji zawodowej realizowane w ramach projektu:</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wsparcie doradcy zawodowego w opracowaniu Indywidualnego Planu Działania oraz przygotowaniu do poszukiwania pracy,</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szkolenia z zakresu prawa jazdy kat. C, C+E z kwalifikacją wstępną przyspieszoną w zakresie przewozu rzeczy wraz z egzaminami,</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 xml:space="preserve">staże, </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prace interwencyjne (kontynuacja zatrudnienia w ramach dotychczasowych umów),</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refundacji kosztów dojazdu na szkolenia i staże,</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indywidualne pośrednictwo pracy w trakcie i po zakończeniu udziału w projekcie.</w:t>
        <w:tab/>
      </w:r>
    </w:p>
    <w:p>
      <w:pPr>
        <w:pStyle w:val="ListParagraph"/>
        <w:ind w:left="426" w:hanging="0"/>
        <w:jc w:val="both"/>
        <w:rPr>
          <w:rFonts w:cs="Calibri"/>
          <w:szCs w:val="24"/>
        </w:rPr>
      </w:pPr>
      <w:r>
        <w:rPr>
          <w:rFonts w:cs="Calibri"/>
          <w:szCs w:val="24"/>
        </w:rPr>
      </w:r>
    </w:p>
    <w:p>
      <w:pPr>
        <w:pStyle w:val="ListParagraph"/>
        <w:ind w:left="990" w:hanging="0"/>
        <w:jc w:val="both"/>
        <w:rPr>
          <w:rFonts w:cs="Calibri"/>
          <w:szCs w:val="24"/>
        </w:rPr>
      </w:pPr>
      <w:r>
        <w:rPr>
          <w:rFonts w:cs="Calibri"/>
          <w:szCs w:val="24"/>
        </w:rPr>
        <w:t>Dodatkowo w budżecie na 2022 rok przewidziano wypłatę jednorazowej refundacji kosztów na rzecz pracodawcy (premia), który po okresie refundacji kosztów w ramach prac interwencyjnych zatrudniał pracownika przez okres co najmniej kolejnych 6 miesięcy (jednorazowo 7.500,00 zł).</w:t>
      </w:r>
    </w:p>
    <w:p>
      <w:pPr>
        <w:pStyle w:val="ListParagraph"/>
        <w:ind w:left="426" w:hanging="0"/>
        <w:jc w:val="both"/>
        <w:rPr>
          <w:rFonts w:cs="Calibri"/>
          <w:szCs w:val="24"/>
        </w:rPr>
      </w:pPr>
      <w:r>
        <w:rPr>
          <w:rFonts w:cs="Calibri"/>
          <w:szCs w:val="24"/>
        </w:rPr>
      </w:r>
    </w:p>
    <w:p>
      <w:pPr>
        <w:pStyle w:val="ListParagraph"/>
        <w:widowControl/>
        <w:numPr>
          <w:ilvl w:val="0"/>
          <w:numId w:val="17"/>
        </w:numPr>
        <w:suppressAutoHyphens w:val="false"/>
        <w:spacing w:lineRule="auto" w:line="276"/>
        <w:jc w:val="both"/>
        <w:rPr>
          <w:rFonts w:cs="Calibri"/>
          <w:szCs w:val="24"/>
        </w:rPr>
      </w:pPr>
      <w:r>
        <w:rPr>
          <w:rFonts w:cs="Calibri"/>
          <w:b/>
          <w:szCs w:val="24"/>
        </w:rPr>
        <w:t xml:space="preserve">Projekt pn. „Wsparcie zawodowe osób młodych w dobie pandemii” </w:t>
      </w:r>
      <w:r>
        <w:rPr>
          <w:rFonts w:cs="Calibri"/>
          <w:szCs w:val="24"/>
        </w:rPr>
        <w:t>–   Poddziałanie 1.2.1 PO WER.</w:t>
      </w:r>
    </w:p>
    <w:p>
      <w:pPr>
        <w:pStyle w:val="ListParagraph"/>
        <w:ind w:left="1440" w:hanging="0"/>
        <w:jc w:val="both"/>
        <w:rPr>
          <w:rFonts w:cs="Calibri"/>
          <w:szCs w:val="24"/>
        </w:rPr>
      </w:pPr>
      <w:r>
        <w:rPr>
          <w:rFonts w:cs="Calibri"/>
          <w:szCs w:val="24"/>
        </w:rPr>
        <w:t xml:space="preserve">Celem projektu jest zapobieganie negatywnym skutkom epidemii COVID-19, poprzez zwiększenie dostępności wysokiej jakości miejsc pracy i tym samym podniesienie szans na znalezienie stabilnego zatrudnienia przez młodych bezrobotnych mieszkańców Sosnowca, którzy zostali dotknięci bezrobociem w wyniku pandemii. </w:t>
      </w:r>
    </w:p>
    <w:p>
      <w:pPr>
        <w:pStyle w:val="ListParagraph"/>
        <w:ind w:left="1440" w:hanging="0"/>
        <w:jc w:val="both"/>
        <w:rPr>
          <w:rFonts w:cs="Calibri"/>
          <w:szCs w:val="24"/>
        </w:rPr>
      </w:pPr>
      <w:r>
        <w:rPr>
          <w:rFonts w:cs="Calibri"/>
          <w:b/>
          <w:szCs w:val="24"/>
        </w:rPr>
        <w:t>Okres realizacji</w:t>
      </w:r>
      <w:r>
        <w:rPr>
          <w:rFonts w:cs="Calibri"/>
          <w:szCs w:val="24"/>
        </w:rPr>
        <w:t>: 01.04.2021 – 30.06.2023.</w:t>
      </w:r>
    </w:p>
    <w:p>
      <w:pPr>
        <w:pStyle w:val="ListParagraph"/>
        <w:ind w:left="1440" w:hanging="0"/>
        <w:jc w:val="both"/>
        <w:rPr>
          <w:rFonts w:cs="Calibri"/>
          <w:b/>
          <w:b/>
          <w:szCs w:val="24"/>
        </w:rPr>
      </w:pPr>
      <w:r>
        <w:rPr>
          <w:rFonts w:cs="Calibri"/>
          <w:b/>
          <w:szCs w:val="24"/>
        </w:rPr>
      </w:r>
    </w:p>
    <w:p>
      <w:pPr>
        <w:pStyle w:val="ListParagraph"/>
        <w:ind w:left="1440" w:hanging="0"/>
        <w:jc w:val="both"/>
        <w:rPr>
          <w:rFonts w:cs="Calibri"/>
          <w:b/>
          <w:b/>
          <w:szCs w:val="24"/>
        </w:rPr>
      </w:pPr>
      <w:r>
        <w:rPr>
          <w:rFonts w:cs="Calibri"/>
          <w:b/>
          <w:szCs w:val="24"/>
        </w:rPr>
        <w:t>Adresaci wsparcia:</w:t>
      </w:r>
      <w:r>
        <w:rPr>
          <w:rFonts w:cs="Calibri"/>
          <w:szCs w:val="24"/>
        </w:rPr>
        <w:t xml:space="preserve"> 20 osób bezrobotnych osób w wieku do 30 roku życia, z których 16 utraciło zatrudnienie po dniu 1 marca 2020 r. w wyniku epidemii COVID-19, a 4 przynależą do grupy osób znajdujących się w najtrudniejszej sytuacji na rynku pracy, tj. osób NEET, osób z niepełnosprawnościami, o niskich kwalifikacjach, bezrobotnych długotrwale, emigrantów, reemigrantów, byłych uczestników projektów z zakresu włączenia społecznego realizowanych przez instytucje pomocy społecznej.</w:t>
      </w:r>
      <w:r>
        <w:rPr>
          <w:rFonts w:cs="Calibri"/>
          <w:b/>
          <w:szCs w:val="24"/>
        </w:rPr>
        <w:t xml:space="preserve"> </w:t>
      </w:r>
    </w:p>
    <w:p>
      <w:pPr>
        <w:pStyle w:val="ListParagraph"/>
        <w:ind w:left="1440" w:hanging="0"/>
        <w:jc w:val="both"/>
        <w:rPr>
          <w:rFonts w:cs="Calibri"/>
          <w:b/>
          <w:b/>
          <w:szCs w:val="24"/>
        </w:rPr>
      </w:pPr>
      <w:r>
        <w:rPr>
          <w:rFonts w:cs="Calibri"/>
          <w:b/>
          <w:szCs w:val="24"/>
        </w:rPr>
      </w:r>
    </w:p>
    <w:p>
      <w:pPr>
        <w:pStyle w:val="ListParagraph"/>
        <w:ind w:left="1440" w:hanging="0"/>
        <w:jc w:val="both"/>
        <w:rPr>
          <w:rFonts w:cs="Calibri"/>
          <w:szCs w:val="24"/>
        </w:rPr>
      </w:pPr>
      <w:r>
        <w:rPr>
          <w:rFonts w:cs="Calibri"/>
          <w:b/>
          <w:szCs w:val="24"/>
        </w:rPr>
        <w:t>Ogólna wartość projektu:</w:t>
      </w:r>
      <w:r>
        <w:rPr>
          <w:rFonts w:cs="Calibri"/>
          <w:szCs w:val="24"/>
        </w:rPr>
        <w:t xml:space="preserve"> 549.062,50 zł (brak wkładu własnego; projekt w 100% dofinansowany).</w:t>
      </w:r>
    </w:p>
    <w:p>
      <w:pPr>
        <w:pStyle w:val="ListParagraph"/>
        <w:ind w:left="1440" w:hanging="0"/>
        <w:jc w:val="both"/>
        <w:rPr>
          <w:rFonts w:cs="Calibri"/>
          <w:b/>
          <w:b/>
          <w:szCs w:val="24"/>
        </w:rPr>
      </w:pPr>
      <w:r>
        <w:rPr>
          <w:rFonts w:cs="Calibri"/>
          <w:b/>
          <w:szCs w:val="24"/>
        </w:rPr>
      </w:r>
    </w:p>
    <w:p>
      <w:pPr>
        <w:pStyle w:val="ListParagraph"/>
        <w:ind w:left="1440" w:hanging="0"/>
        <w:jc w:val="both"/>
        <w:rPr>
          <w:rFonts w:cs="Calibri"/>
          <w:szCs w:val="24"/>
        </w:rPr>
      </w:pPr>
      <w:r>
        <w:rPr>
          <w:rFonts w:cs="Calibri"/>
          <w:b/>
          <w:szCs w:val="24"/>
        </w:rPr>
        <w:t>Działania z zakresu aktywizacji zawodowej realizowane w ramach projektu:</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wsparcie doradcy zawodowego w opracowaniu Indywidualnego Planu Działania oraz przygotowaniu do poszukiwania pracy,</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prace interwencyjne z 6-cio miesięczną refundacją kosztów wynagrodzenia pracownika,</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prace interwencyjne z 12-to miesięczną refundacją kosztów wynagrodzenia pracownika,</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bony zatrudnieniowe,</w:t>
      </w:r>
    </w:p>
    <w:p>
      <w:pPr>
        <w:pStyle w:val="ListParagraph"/>
        <w:widowControl/>
        <w:numPr>
          <w:ilvl w:val="0"/>
          <w:numId w:val="16"/>
        </w:numPr>
        <w:suppressAutoHyphens w:val="false"/>
        <w:spacing w:lineRule="auto" w:line="276" w:before="0" w:after="200"/>
        <w:jc w:val="both"/>
        <w:rPr>
          <w:rFonts w:cs="Calibri"/>
          <w:szCs w:val="24"/>
        </w:rPr>
      </w:pPr>
      <w:r>
        <w:rPr>
          <w:rFonts w:cs="Calibri"/>
          <w:szCs w:val="24"/>
        </w:rPr>
        <w:t>indywidualne pośrednictwo pracy w trakcie i po zakończeniu udziału w projekcie.</w:t>
        <w:tab/>
      </w:r>
    </w:p>
    <w:p>
      <w:pPr>
        <w:pStyle w:val="ListParagraph"/>
        <w:ind w:left="0" w:hanging="0"/>
        <w:jc w:val="both"/>
        <w:rPr>
          <w:rFonts w:cs="Calibri"/>
          <w:b/>
          <w:b/>
          <w:szCs w:val="24"/>
        </w:rPr>
      </w:pPr>
      <w:r>
        <w:rPr>
          <w:rFonts w:cs="Calibri"/>
          <w:b/>
          <w:szCs w:val="24"/>
        </w:rPr>
      </w:r>
    </w:p>
    <w:p>
      <w:pPr>
        <w:pStyle w:val="ListParagraph"/>
        <w:jc w:val="both"/>
        <w:rPr>
          <w:rFonts w:cs="Calibri"/>
          <w:b/>
          <w:b/>
          <w:szCs w:val="24"/>
        </w:rPr>
      </w:pPr>
      <w:r>
        <w:rPr>
          <w:rFonts w:cs="Calibri"/>
          <w:b/>
          <w:szCs w:val="24"/>
        </w:rPr>
      </w:r>
    </w:p>
    <w:p>
      <w:pPr>
        <w:pStyle w:val="ListParagraph"/>
        <w:numPr>
          <w:ilvl w:val="0"/>
          <w:numId w:val="21"/>
        </w:numPr>
        <w:spacing w:lineRule="auto" w:line="276"/>
        <w:jc w:val="both"/>
        <w:rPr>
          <w:rFonts w:cs="Calibri"/>
          <w:b/>
          <w:b/>
          <w:sz w:val="32"/>
          <w:szCs w:val="24"/>
        </w:rPr>
      </w:pPr>
      <w:r>
        <w:rPr>
          <w:rFonts w:cs="Calibri"/>
          <w:b/>
          <w:sz w:val="28"/>
          <w:szCs w:val="24"/>
        </w:rPr>
        <w:t>Projekt pilotażowy na rozwój przedsiębiorczości</w:t>
      </w:r>
    </w:p>
    <w:p>
      <w:pPr>
        <w:pStyle w:val="ListParagraph"/>
        <w:jc w:val="both"/>
        <w:rPr>
          <w:rFonts w:cs="Calibri"/>
          <w:b/>
          <w:b/>
          <w:szCs w:val="24"/>
        </w:rPr>
      </w:pPr>
      <w:r>
        <w:rPr>
          <w:rFonts w:cs="Calibri"/>
          <w:b/>
          <w:szCs w:val="24"/>
        </w:rPr>
      </w:r>
    </w:p>
    <w:p>
      <w:pPr>
        <w:pStyle w:val="ListParagraph"/>
        <w:jc w:val="both"/>
        <w:rPr>
          <w:rFonts w:cs="Calibri"/>
          <w:b/>
          <w:b/>
          <w:bCs/>
          <w:szCs w:val="24"/>
        </w:rPr>
      </w:pPr>
      <w:r>
        <w:rPr>
          <w:rFonts w:cs="Calibri"/>
          <w:szCs w:val="24"/>
        </w:rPr>
        <w:t xml:space="preserve">Kolejnym przedsięwzięciem rozpoczętym przez Urząd w 2021 r., a kontynuowanym w 2022 r. jest projekt pilotażowy wspierający lokalną przedsiębiorczość, finansowany ze środków rezerwy </w:t>
      </w:r>
      <w:r>
        <w:rPr>
          <w:rFonts w:cs="Calibri"/>
          <w:bCs/>
          <w:szCs w:val="24"/>
        </w:rPr>
        <w:t>Funduszu Pracy.</w:t>
      </w:r>
    </w:p>
    <w:p>
      <w:pPr>
        <w:pStyle w:val="ListParagraph"/>
        <w:jc w:val="both"/>
        <w:rPr>
          <w:rFonts w:cs="Calibri"/>
          <w:b/>
          <w:b/>
          <w:bCs/>
          <w:szCs w:val="24"/>
        </w:rPr>
      </w:pPr>
      <w:r>
        <w:rPr>
          <w:rFonts w:cs="Calibri"/>
          <w:b/>
          <w:bCs/>
          <w:szCs w:val="24"/>
        </w:rPr>
        <w:t>Okres realizacji projektu:</w:t>
      </w:r>
      <w:r>
        <w:rPr>
          <w:rFonts w:cs="Calibri"/>
          <w:szCs w:val="24"/>
        </w:rPr>
        <w:t xml:space="preserve"> 01.10.2021 r. - 31.03.2023 r.</w:t>
      </w:r>
    </w:p>
    <w:p>
      <w:pPr>
        <w:pStyle w:val="ListParagraph"/>
        <w:jc w:val="both"/>
        <w:rPr>
          <w:rFonts w:cs="Calibri"/>
          <w:b/>
          <w:b/>
          <w:bCs/>
          <w:szCs w:val="24"/>
        </w:rPr>
      </w:pPr>
      <w:r>
        <w:rPr>
          <w:rFonts w:cs="Calibri"/>
          <w:b/>
          <w:szCs w:val="24"/>
        </w:rPr>
        <w:t xml:space="preserve">Adresaci wsparcia: </w:t>
      </w:r>
      <w:r>
        <w:rPr>
          <w:rFonts w:cs="Calibri"/>
          <w:szCs w:val="24"/>
        </w:rPr>
        <w:t>20 osób bezrobotnych zarejestrowanych w Urzędzie</w:t>
      </w:r>
    </w:p>
    <w:p>
      <w:pPr>
        <w:pStyle w:val="ListParagraph"/>
        <w:jc w:val="both"/>
        <w:rPr>
          <w:rFonts w:cs="Calibri"/>
          <w:szCs w:val="24"/>
        </w:rPr>
      </w:pPr>
      <w:r>
        <w:rPr>
          <w:rFonts w:cs="Calibri"/>
          <w:b/>
          <w:bCs/>
          <w:szCs w:val="24"/>
        </w:rPr>
        <w:t>Wartość projektu:</w:t>
      </w:r>
      <w:r>
        <w:rPr>
          <w:rFonts w:cs="Calibri"/>
          <w:szCs w:val="24"/>
        </w:rPr>
        <w:t xml:space="preserve"> 650.800,00 zł</w:t>
      </w:r>
    </w:p>
    <w:p>
      <w:pPr>
        <w:pStyle w:val="ListParagraph"/>
        <w:jc w:val="both"/>
        <w:rPr>
          <w:rFonts w:cs="Calibri"/>
          <w:b/>
          <w:b/>
          <w:szCs w:val="24"/>
        </w:rPr>
      </w:pPr>
      <w:r>
        <w:rPr>
          <w:rFonts w:cs="Calibri"/>
          <w:b/>
          <w:szCs w:val="24"/>
        </w:rPr>
      </w:r>
    </w:p>
    <w:p>
      <w:pPr>
        <w:pStyle w:val="ListParagraph"/>
        <w:jc w:val="both"/>
        <w:rPr>
          <w:rFonts w:cs="Calibri"/>
          <w:b/>
          <w:b/>
          <w:szCs w:val="24"/>
        </w:rPr>
      </w:pPr>
      <w:r>
        <w:rPr>
          <w:rFonts w:cs="Calibri"/>
          <w:b/>
          <w:szCs w:val="24"/>
        </w:rPr>
        <w:t>Działania z zakresu aktywizacji zawodowej realizowane w ramach projektu:</w:t>
      </w:r>
    </w:p>
    <w:p>
      <w:pPr>
        <w:pStyle w:val="ListParagraph"/>
        <w:widowControl/>
        <w:numPr>
          <w:ilvl w:val="0"/>
          <w:numId w:val="22"/>
        </w:numPr>
        <w:suppressAutoHyphens w:val="false"/>
        <w:spacing w:lineRule="auto" w:line="276" w:before="0" w:after="200"/>
        <w:jc w:val="both"/>
        <w:rPr>
          <w:rFonts w:cs="Calibri"/>
          <w:szCs w:val="24"/>
        </w:rPr>
      </w:pPr>
      <w:r>
        <w:rPr>
          <w:rFonts w:cs="Calibri"/>
          <w:szCs w:val="24"/>
        </w:rPr>
        <w:t>wypłata 20 grantów na rzecz nowopowstałych firm, w kwocie nieprzekraczającej 32 000,00 zł, co w przybliżeniu odpowiada 6-krotności przeciętnego wynagrodzenia za pracę.</w:t>
      </w:r>
    </w:p>
    <w:p>
      <w:pPr>
        <w:pStyle w:val="ListParagraph"/>
        <w:jc w:val="both"/>
        <w:rPr>
          <w:rFonts w:cs="Calibri"/>
          <w:szCs w:val="24"/>
        </w:rPr>
      </w:pPr>
      <w:r>
        <w:rPr>
          <w:rFonts w:cs="Calibri"/>
          <w:szCs w:val="24"/>
        </w:rPr>
      </w:r>
    </w:p>
    <w:p>
      <w:pPr>
        <w:pStyle w:val="ListParagraph"/>
        <w:jc w:val="both"/>
        <w:rPr>
          <w:rFonts w:cs="Calibri"/>
          <w:szCs w:val="24"/>
        </w:rPr>
      </w:pPr>
      <w:r>
        <w:rPr>
          <w:rFonts w:cs="Calibri"/>
          <w:szCs w:val="24"/>
        </w:rPr>
        <w:t xml:space="preserve">Czynnikiem odróżniającym grant od standardowych środków wypłacanych na ten cel zgodnie z Ustawą, jest jego podział na: </w:t>
      </w:r>
    </w:p>
    <w:p>
      <w:pPr>
        <w:pStyle w:val="ListParagraph"/>
        <w:widowControl/>
        <w:numPr>
          <w:ilvl w:val="0"/>
          <w:numId w:val="22"/>
        </w:numPr>
        <w:suppressAutoHyphens w:val="false"/>
        <w:spacing w:lineRule="auto" w:line="276" w:before="0" w:after="200"/>
        <w:jc w:val="both"/>
        <w:rPr>
          <w:rFonts w:cs="Calibri"/>
          <w:szCs w:val="24"/>
        </w:rPr>
      </w:pPr>
      <w:r>
        <w:rPr>
          <w:rFonts w:cs="Calibri"/>
          <w:szCs w:val="24"/>
        </w:rPr>
        <w:t>dotację, służącą wyposażeniu działalności w środki techniczne i aktywa obrotowe,</w:t>
      </w:r>
    </w:p>
    <w:p>
      <w:pPr>
        <w:pStyle w:val="ListParagraph"/>
        <w:widowControl/>
        <w:numPr>
          <w:ilvl w:val="0"/>
          <w:numId w:val="22"/>
        </w:numPr>
        <w:suppressAutoHyphens w:val="false"/>
        <w:spacing w:lineRule="auto" w:line="276" w:before="0" w:after="200"/>
        <w:jc w:val="both"/>
        <w:rPr>
          <w:rFonts w:cs="Calibri"/>
          <w:szCs w:val="24"/>
        </w:rPr>
      </w:pPr>
      <w:r>
        <w:rPr>
          <w:rFonts w:cs="Calibri"/>
          <w:szCs w:val="24"/>
        </w:rPr>
        <w:t xml:space="preserve">comiesięczne wsparcie pomostowe, z przeznaczeniem na pokrycie obligatoryjnych, cyklicznych opłat wynikających z prowadzenia działalności gospodarczej, udzielane przez pierwszych 6 miesięcy funkcjonowania firmy (np. koszty ZUS, czynsz za lokal, koszty obsługi księgowej). </w:t>
      </w:r>
    </w:p>
    <w:p>
      <w:pPr>
        <w:pStyle w:val="Normal"/>
        <w:ind w:left="708" w:hanging="0"/>
        <w:jc w:val="both"/>
        <w:rPr>
          <w:rFonts w:cs="Calibri"/>
          <w:szCs w:val="24"/>
        </w:rPr>
      </w:pPr>
      <w:r>
        <w:rPr>
          <w:rFonts w:cs="Calibri"/>
          <w:szCs w:val="24"/>
        </w:rPr>
        <w:t>Podział kwotowy wsparcia pomiędzy obie jego formy zależał będzie od decyzji osoby bezrobotnej (przy założeniu, że wartość wsparcia pomostowego będzie zawierać się w przedziale od 1000,00 zł do 2800,00 zł / m-ąc).</w:t>
      </w:r>
    </w:p>
    <w:p>
      <w:pPr>
        <w:pStyle w:val="Normal"/>
        <w:ind w:left="708" w:hanging="0"/>
        <w:jc w:val="both"/>
        <w:rPr>
          <w:rFonts w:cs="Calibri"/>
          <w:szCs w:val="24"/>
        </w:rPr>
      </w:pPr>
      <w:r>
        <w:rPr>
          <w:rFonts w:cs="Calibri"/>
          <w:szCs w:val="24"/>
        </w:rPr>
      </w:r>
    </w:p>
    <w:p>
      <w:pPr>
        <w:pStyle w:val="Normal"/>
        <w:ind w:left="708" w:hanging="0"/>
        <w:jc w:val="both"/>
        <w:rPr>
          <w:rFonts w:cs="Calibri"/>
          <w:szCs w:val="24"/>
        </w:rPr>
      </w:pPr>
      <w:r>
        <w:rPr>
          <w:rFonts w:cs="Calibri"/>
          <w:szCs w:val="24"/>
        </w:rPr>
      </w:r>
    </w:p>
    <w:p>
      <w:pPr>
        <w:pStyle w:val="Normal"/>
        <w:widowControl/>
        <w:numPr>
          <w:ilvl w:val="0"/>
          <w:numId w:val="9"/>
        </w:numPr>
        <w:suppressAutoHyphens w:val="false"/>
        <w:spacing w:lineRule="auto" w:line="276"/>
        <w:jc w:val="both"/>
        <w:rPr>
          <w:rFonts w:cs="Calibri"/>
          <w:b/>
          <w:b/>
          <w:sz w:val="32"/>
          <w:szCs w:val="24"/>
        </w:rPr>
      </w:pPr>
      <w:r>
        <w:rPr>
          <w:rFonts w:cs="Calibri"/>
          <w:b/>
          <w:sz w:val="28"/>
          <w:szCs w:val="24"/>
        </w:rPr>
        <w:t>Realizacja dodatkowych zadań nałożonych na urzędy pracy w ramach przepisów tzw. „Tarczy antykryzysowej” – kontynuacja zadania</w:t>
      </w:r>
    </w:p>
    <w:p>
      <w:pPr>
        <w:pStyle w:val="Normal"/>
        <w:ind w:left="720" w:hanging="0"/>
        <w:jc w:val="both"/>
        <w:rPr>
          <w:rFonts w:cs="Calibri"/>
          <w:b/>
          <w:b/>
          <w:szCs w:val="24"/>
        </w:rPr>
      </w:pPr>
      <w:r>
        <w:rPr>
          <w:rFonts w:cs="Calibri"/>
          <w:b/>
          <w:szCs w:val="24"/>
        </w:rPr>
      </w:r>
    </w:p>
    <w:p>
      <w:pPr>
        <w:pStyle w:val="Normal"/>
        <w:ind w:left="720" w:hanging="0"/>
        <w:jc w:val="both"/>
        <w:rPr>
          <w:rFonts w:cs="Calibri"/>
          <w:szCs w:val="24"/>
        </w:rPr>
      </w:pPr>
      <w:r>
        <w:rPr>
          <w:rFonts w:cs="Calibri"/>
          <w:szCs w:val="24"/>
        </w:rPr>
        <w:t>W 2022 roku Urząd będzie kontynuował przyznawanie wsparcia przedsiębiorcom, którzy w myśl przepisów Ustawy o COVID-19 i rozporządzeń wykonawczych, najbardziej ucierpieli w wyniku epidemii.</w:t>
      </w:r>
    </w:p>
    <w:p>
      <w:pPr>
        <w:pStyle w:val="Normal"/>
        <w:ind w:left="720" w:hanging="0"/>
        <w:jc w:val="both"/>
        <w:rPr>
          <w:rFonts w:cs="Calibri"/>
          <w:szCs w:val="24"/>
        </w:rPr>
      </w:pPr>
      <w:r>
        <w:rPr>
          <w:rFonts w:cs="Calibri"/>
          <w:szCs w:val="24"/>
        </w:rPr>
      </w:r>
    </w:p>
    <w:p>
      <w:pPr>
        <w:pStyle w:val="Normal"/>
        <w:widowControl/>
        <w:numPr>
          <w:ilvl w:val="0"/>
          <w:numId w:val="20"/>
        </w:numPr>
        <w:suppressAutoHyphens w:val="false"/>
        <w:spacing w:lineRule="auto" w:line="276"/>
        <w:jc w:val="both"/>
        <w:rPr>
          <w:rFonts w:cs="Calibri"/>
          <w:bCs/>
          <w:szCs w:val="24"/>
        </w:rPr>
      </w:pPr>
      <w:r>
        <w:rPr>
          <w:rFonts w:cs="Calibri"/>
          <w:szCs w:val="24"/>
        </w:rPr>
        <w:t xml:space="preserve">Aktualne działania do wypłata jednorazowej dotacji w wysokości 5.000,00 zł </w:t>
      </w:r>
      <w:r>
        <w:rPr>
          <w:rFonts w:cs="Calibri"/>
          <w:bCs/>
          <w:szCs w:val="24"/>
        </w:rPr>
        <w:t>dla mikro i małych przedsiębiorstw z trzech branż posiadających rodzaj przeważającej działalności oznaczony kodem PKD:</w:t>
      </w:r>
    </w:p>
    <w:p>
      <w:pPr>
        <w:pStyle w:val="Default"/>
        <w:numPr>
          <w:ilvl w:val="0"/>
          <w:numId w:val="19"/>
        </w:numPr>
        <w:jc w:val="both"/>
        <w:rPr>
          <w:sz w:val="23"/>
          <w:szCs w:val="23"/>
        </w:rPr>
      </w:pPr>
      <w:r>
        <w:rPr>
          <w:bCs/>
        </w:rPr>
        <w:t xml:space="preserve">56.30.Z – </w:t>
      </w:r>
      <w:r>
        <w:rPr>
          <w:sz w:val="23"/>
          <w:szCs w:val="23"/>
        </w:rPr>
        <w:t xml:space="preserve">Przygotowywanie i podawanie napojów, </w:t>
      </w:r>
    </w:p>
    <w:p>
      <w:pPr>
        <w:pStyle w:val="Default"/>
        <w:numPr>
          <w:ilvl w:val="0"/>
          <w:numId w:val="19"/>
        </w:numPr>
        <w:jc w:val="both"/>
        <w:rPr>
          <w:sz w:val="23"/>
          <w:szCs w:val="23"/>
        </w:rPr>
      </w:pPr>
      <w:r>
        <w:rPr>
          <w:bCs/>
        </w:rPr>
        <w:t xml:space="preserve">93.29.A – </w:t>
      </w:r>
      <w:r>
        <w:rPr>
          <w:sz w:val="23"/>
          <w:szCs w:val="23"/>
        </w:rPr>
        <w:t>Działalność pokojów zagadek, domów strachu, miejsc do tańczenia i w zakresie innych form rozrywki lub rekreacji organizowanych w pomieszczeniach lub w innych miejscach o zamkniętej przestrzeni,</w:t>
      </w:r>
    </w:p>
    <w:p>
      <w:pPr>
        <w:pStyle w:val="Normal"/>
        <w:widowControl/>
        <w:numPr>
          <w:ilvl w:val="0"/>
          <w:numId w:val="18"/>
        </w:numPr>
        <w:suppressAutoHyphens w:val="false"/>
        <w:spacing w:lineRule="auto" w:line="276"/>
        <w:jc w:val="both"/>
        <w:rPr>
          <w:rFonts w:cs="Calibri"/>
          <w:bCs/>
          <w:szCs w:val="24"/>
        </w:rPr>
      </w:pPr>
      <w:r>
        <w:rPr>
          <w:rFonts w:cs="Calibri"/>
          <w:bCs/>
          <w:szCs w:val="24"/>
        </w:rPr>
        <w:t xml:space="preserve">93.29.Z – </w:t>
      </w:r>
      <w:r>
        <w:rPr>
          <w:sz w:val="23"/>
          <w:szCs w:val="23"/>
        </w:rPr>
        <w:t>Pozostała działalność rozrywkowa i rekreacyjna.</w:t>
      </w:r>
    </w:p>
    <w:p>
      <w:pPr>
        <w:pStyle w:val="Normal"/>
        <w:ind w:left="708" w:firstLine="708"/>
        <w:jc w:val="both"/>
        <w:rPr>
          <w:rFonts w:cs="Calibri"/>
          <w:bCs/>
          <w:szCs w:val="24"/>
        </w:rPr>
      </w:pPr>
      <w:r>
        <w:rPr>
          <w:rFonts w:cs="Calibri"/>
          <w:bCs/>
          <w:szCs w:val="24"/>
        </w:rPr>
        <w:t xml:space="preserve">Na ten cel Urząd wnioskował i otrzymał środki w wysokości </w:t>
      </w:r>
      <w:r>
        <w:rPr>
          <w:rFonts w:cs="Calibri"/>
          <w:b/>
          <w:bCs/>
          <w:szCs w:val="24"/>
        </w:rPr>
        <w:t>600.000,00 zł.</w:t>
      </w:r>
    </w:p>
    <w:p>
      <w:pPr>
        <w:pStyle w:val="Normal"/>
        <w:ind w:left="720" w:hanging="0"/>
        <w:jc w:val="both"/>
        <w:rPr>
          <w:rFonts w:cs="Calibri"/>
          <w:szCs w:val="24"/>
        </w:rPr>
      </w:pPr>
      <w:r>
        <w:rPr>
          <w:rFonts w:cs="Calibri"/>
          <w:szCs w:val="24"/>
        </w:rPr>
      </w:r>
    </w:p>
    <w:p>
      <w:pPr>
        <w:pStyle w:val="Normal"/>
        <w:widowControl/>
        <w:numPr>
          <w:ilvl w:val="0"/>
          <w:numId w:val="20"/>
        </w:numPr>
        <w:suppressAutoHyphens w:val="false"/>
        <w:spacing w:lineRule="auto" w:line="276"/>
        <w:jc w:val="both"/>
        <w:rPr>
          <w:rFonts w:cs="Calibri"/>
          <w:szCs w:val="24"/>
        </w:rPr>
      </w:pPr>
      <w:r>
        <w:rPr>
          <w:rFonts w:cs="Calibri"/>
          <w:szCs w:val="24"/>
        </w:rPr>
        <w:t>Dodatkowo Urząd, podobnie jak pozostałe urzędy pracy w całej Polsce, prowadzi kontrole prawidłowości wydatkowania środków otrzymanych przez przedsiębiorców / pracodawców w myśl Ustawy o COVID-19 z Tarczy antykryzysowej.</w:t>
      </w:r>
    </w:p>
    <w:p>
      <w:pPr>
        <w:pStyle w:val="Normal"/>
        <w:ind w:left="1440" w:hanging="0"/>
        <w:jc w:val="both"/>
        <w:rPr>
          <w:rFonts w:cs="Calibri"/>
          <w:szCs w:val="24"/>
        </w:rPr>
      </w:pPr>
      <w:r>
        <w:rPr>
          <w:rFonts w:cs="Calibri"/>
          <w:szCs w:val="24"/>
        </w:rPr>
        <w:t>Kontrole dotyczą przede wszystkim wsparcia udzielonego w ramach projektów unijnych w zakresie:</w:t>
      </w:r>
    </w:p>
    <w:p>
      <w:pPr>
        <w:pStyle w:val="Normal"/>
        <w:widowControl/>
        <w:numPr>
          <w:ilvl w:val="0"/>
          <w:numId w:val="18"/>
        </w:numPr>
        <w:suppressAutoHyphens w:val="false"/>
        <w:spacing w:lineRule="auto" w:line="276"/>
        <w:jc w:val="both"/>
        <w:rPr>
          <w:rFonts w:cs="Calibri"/>
          <w:szCs w:val="24"/>
        </w:rPr>
      </w:pPr>
      <w:r>
        <w:rPr>
          <w:rFonts w:cs="Calibri"/>
          <w:szCs w:val="24"/>
        </w:rPr>
        <w:t>art. 15zzb i art. 15zze – dofinansowania wynagrodzeń,</w:t>
      </w:r>
    </w:p>
    <w:p>
      <w:pPr>
        <w:pStyle w:val="Normal"/>
        <w:widowControl/>
        <w:numPr>
          <w:ilvl w:val="0"/>
          <w:numId w:val="18"/>
        </w:numPr>
        <w:suppressAutoHyphens w:val="false"/>
        <w:spacing w:lineRule="auto" w:line="276"/>
        <w:jc w:val="both"/>
        <w:rPr>
          <w:rFonts w:cs="Calibri"/>
          <w:szCs w:val="24"/>
        </w:rPr>
      </w:pPr>
      <w:r>
        <w:rPr>
          <w:rFonts w:cs="Calibri"/>
          <w:szCs w:val="24"/>
        </w:rPr>
        <w:t>art. 15zzc – dofinansowanie kosztów prowadzenia działalności.</w:t>
      </w:r>
    </w:p>
    <w:p>
      <w:pPr>
        <w:pStyle w:val="Normal"/>
        <w:rPr/>
      </w:pPr>
      <w:r>
        <w:rPr/>
      </w:r>
    </w:p>
    <w:sectPr>
      <w:headerReference w:type="default" r:id="rId16"/>
      <w:footerReference w:type="default" r:id="rId17"/>
      <w:footnotePr>
        <w:numFmt w:val="decimal"/>
      </w:footnotePr>
      <w:type w:val="nextPage"/>
      <w:pgSz w:w="11906" w:h="16838"/>
      <w:pgMar w:left="1417" w:right="1417"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Consolas">
    <w:charset w:val="ee"/>
    <w:family w:val="roman"/>
    <w:pitch w:val="variable"/>
  </w:font>
  <w:font w:name="Liberation Sans">
    <w:altName w:val="Arial"/>
    <w:charset w:val="ee"/>
    <w:family w:val="swiss"/>
    <w:pitch w:val="variable"/>
  </w:font>
  <w:font w:name="Monotype Corsiva">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7617645"/>
    </w:sdtPr>
    <w:sdtContent>
      <w:p>
        <w:pPr>
          <w:pStyle w:val="Stopka"/>
          <w:jc w:val="right"/>
          <w:rPr/>
        </w:pPr>
        <w:r>
          <w:rPr/>
          <w:fldChar w:fldCharType="begin"/>
        </w:r>
        <w:r>
          <w:instrText> PAGE </w:instrText>
        </w:r>
        <w:r>
          <w:fldChar w:fldCharType="separate"/>
        </w:r>
        <w:r>
          <w:t>6</w:t>
        </w:r>
        <w:r>
          <w:fldChar w:fldCharType="end"/>
        </w:r>
      </w:p>
      <w:p>
        <w:pPr>
          <w:pStyle w:val="Stopka"/>
          <w:jc w:val="righ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29461167"/>
    </w:sdtPr>
    <w:sdtContent>
      <w:p>
        <w:pPr>
          <w:pStyle w:val="Stopka"/>
          <w:jc w:val="right"/>
          <w:rPr/>
        </w:pPr>
        <w:r>
          <w:rPr/>
          <w:fldChar w:fldCharType="begin"/>
        </w:r>
        <w:r>
          <w:instrText> PAGE </w:instrText>
        </w:r>
        <w:r>
          <w:fldChar w:fldCharType="separate"/>
        </w:r>
        <w:r>
          <w:t>13</w:t>
        </w:r>
        <w:r>
          <w:fldChar w:fldCharType="end"/>
        </w:r>
      </w:p>
      <w:p>
        <w:pPr>
          <w:pStyle w:val="Stopka"/>
          <w:jc w:val="right"/>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2415697"/>
    </w:sdtPr>
    <w:sdtContent>
      <w:p>
        <w:pPr>
          <w:pStyle w:val="Stopka"/>
          <w:jc w:val="right"/>
          <w:rPr/>
        </w:pPr>
        <w:r>
          <w:rPr/>
          <w:fldChar w:fldCharType="begin"/>
        </w:r>
        <w:r>
          <w:instrText> PAGE </w:instrText>
        </w:r>
        <w:r>
          <w:fldChar w:fldCharType="separate"/>
        </w:r>
        <w:r>
          <w:t>26</w:t>
        </w:r>
        <w:r>
          <w:fldChar w:fldCharType="end"/>
        </w:r>
      </w:p>
      <w:p>
        <w:pPr>
          <w:pStyle w:val="Stopka"/>
          <w:jc w:val="right"/>
          <w:rPr/>
        </w:pPr>
        <w:r>
          <w:rPr/>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Pr>
        <w:footnoteRef/>
        <w:tab/>
      </w:r>
      <w:r>
        <w:rPr/>
        <w:t xml:space="preserve"> </w:t>
      </w:r>
      <w:r>
        <w:rPr/>
        <w:t xml:space="preserve">Podstawa prawna: </w:t>
      </w:r>
    </w:p>
    <w:p>
      <w:pPr>
        <w:pStyle w:val="Footnotetext"/>
        <w:numPr>
          <w:ilvl w:val="0"/>
          <w:numId w:val="6"/>
        </w:numPr>
        <w:rPr/>
      </w:pPr>
      <w:r>
        <w:rPr/>
        <w:tab/>
        <w:t xml:space="preserve">art. 109 ust. 2 ustawy z dnia 20 kwietnia 2004 r. o promocji zatrudnienia i instytucjach rynku pracy, </w:t>
      </w:r>
    </w:p>
    <w:p>
      <w:pPr>
        <w:pStyle w:val="Footnotetext"/>
        <w:numPr>
          <w:ilvl w:val="0"/>
          <w:numId w:val="6"/>
        </w:numPr>
        <w:rPr/>
      </w:pPr>
      <w:r>
        <w:rPr/>
        <w:tab/>
        <w:t>§ 4 ust. 5 i ust. 7 i § 5 ust. 1 rozporządzenia  Ministra Pracy  i  Polityki  Społecznej z dnia 7 października 2011 roku w sprawie szczegółowych zasad gospodarki finansowej Funduszu  Pracy.</w:t>
      </w:r>
    </w:p>
    <w:p>
      <w:pPr>
        <w:pStyle w:val="Footnotetext"/>
        <w:rPr/>
      </w:pPr>
      <w:r>
        <w:rPr/>
      </w:r>
    </w:p>
  </w:footnote>
  <w:footnote w:id="3">
    <w:p>
      <w:pPr>
        <w:pStyle w:val="Footnotetext"/>
        <w:jc w:val="both"/>
        <w:rPr/>
      </w:pPr>
      <w:r>
        <w:rPr>
          <w:rStyle w:val="Footnotereference"/>
        </w:rPr>
        <w:footnoteRef/>
        <w:tab/>
      </w:r>
      <w:r>
        <w:rPr/>
        <w:t xml:space="preserve"> </w:t>
      </w:r>
      <w:r>
        <w:rPr/>
        <w:t>Dofinansowanie wynagrodzeń osób 50+ realizowane jest również w ramach innych instrumentów, korzystniejszych finansowo dla pracodawców, przez co częściej przez nich wybieranych.</w:t>
      </w:r>
    </w:p>
    <w:p>
      <w:pPr>
        <w:pStyle w:val="Footnotetext"/>
        <w:jc w:val="both"/>
        <w:rPr/>
      </w:pPr>
      <w:r>
        <w:rPr/>
      </w:r>
    </w:p>
  </w:footnote>
  <w:footnote w:id="4">
    <w:p>
      <w:pPr>
        <w:pStyle w:val="Footnotetext"/>
        <w:rPr/>
      </w:pPr>
      <w:r>
        <w:rPr>
          <w:rStyle w:val="Footnotereference"/>
        </w:rPr>
        <w:footnoteRef/>
        <w:tab/>
      </w:r>
      <w:r>
        <w:rPr/>
        <w:t xml:space="preserve"> </w:t>
      </w:r>
      <w:r>
        <w:rPr/>
        <w:t>Dane w oparciu o planowaną do skierowania liczbę osób bezrobotnych na szkolenia i staże.</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tabs>
        <w:tab w:val="center" w:pos="4536" w:leader="none"/>
        <w:tab w:val="right" w:pos="9072" w:leader="none"/>
      </w:tabs>
      <w:suppressAutoHyphens w:val="false"/>
      <w:spacing w:lineRule="auto" w:line="276" w:before="0" w:after="20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6" w:type="dxa"/>
      <w:jc w:val="left"/>
      <w:tblInd w:w="0" w:type="dxa"/>
      <w:tblBorders>
        <w:bottom w:val="single" w:sz="18" w:space="0" w:color="000001"/>
        <w:insideH w:val="single" w:sz="18" w:space="0" w:color="000001"/>
      </w:tblBorders>
      <w:tblCellMar>
        <w:top w:w="0" w:type="dxa"/>
        <w:left w:w="0" w:type="dxa"/>
        <w:bottom w:w="0" w:type="dxa"/>
        <w:right w:w="0" w:type="dxa"/>
      </w:tblCellMar>
      <w:tblLook w:firstRow="1" w:noVBand="1" w:lastRow="0" w:firstColumn="1" w:lastColumn="0" w:noHBand="0" w:val="04a0"/>
    </w:tblPr>
    <w:tblGrid>
      <w:gridCol w:w="1750"/>
      <w:gridCol w:w="7885"/>
    </w:tblGrid>
    <w:tr>
      <w:trPr>
        <w:cantSplit w:val="true"/>
      </w:trPr>
      <w:tc>
        <w:tcPr>
          <w:tcW w:w="1750" w:type="dxa"/>
          <w:tcBorders>
            <w:bottom w:val="single" w:sz="18" w:space="0" w:color="000001"/>
            <w:insideH w:val="single" w:sz="18" w:space="0" w:color="000001"/>
          </w:tcBorders>
          <w:shd w:fill="auto" w:val="clear"/>
        </w:tcPr>
        <w:p>
          <w:pPr>
            <w:pStyle w:val="Zawartotabeli"/>
            <w:suppressLineNumbers/>
            <w:spacing w:before="0" w:after="120"/>
            <w:rPr/>
          </w:pPr>
          <w:r>
            <w:rPr/>
            <w:drawing>
              <wp:anchor behindDoc="1" distT="0" distB="0" distL="19050" distR="0" simplePos="0" locked="0" layoutInCell="1" allowOverlap="1" relativeHeight="5">
                <wp:simplePos x="0" y="0"/>
                <wp:positionH relativeFrom="column">
                  <wp:posOffset>38100</wp:posOffset>
                </wp:positionH>
                <wp:positionV relativeFrom="paragraph">
                  <wp:posOffset>635</wp:posOffset>
                </wp:positionV>
                <wp:extent cx="1015365" cy="689610"/>
                <wp:effectExtent l="0" t="0" r="0" b="0"/>
                <wp:wrapNone/>
                <wp:docPr id="4"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
                        <pic:cNvPicPr>
                          <a:picLocks noChangeAspect="1" noChangeArrowheads="1"/>
                        </pic:cNvPicPr>
                      </pic:nvPicPr>
                      <pic:blipFill>
                        <a:blip r:embed="rId1"/>
                        <a:stretch>
                          <a:fillRect/>
                        </a:stretch>
                      </pic:blipFill>
                      <pic:spPr bwMode="auto">
                        <a:xfrm>
                          <a:off x="0" y="0"/>
                          <a:ext cx="1015365" cy="689610"/>
                        </a:xfrm>
                        <a:prstGeom prst="rect">
                          <a:avLst/>
                        </a:prstGeom>
                      </pic:spPr>
                    </pic:pic>
                  </a:graphicData>
                </a:graphic>
              </wp:anchor>
            </w:drawing>
          </w:r>
        </w:p>
      </w:tc>
      <w:tc>
        <w:tcPr>
          <w:tcW w:w="7885" w:type="dxa"/>
          <w:tcBorders>
            <w:bottom w:val="single" w:sz="18" w:space="0" w:color="000001"/>
            <w:insideH w:val="single" w:sz="18" w:space="0" w:color="000001"/>
          </w:tcBorders>
          <w:shd w:fill="auto" w:val="clear"/>
        </w:tcPr>
        <w:p>
          <w:pPr>
            <w:pStyle w:val="Zawartotabeli"/>
            <w:tabs>
              <w:tab w:val="left" w:pos="1226" w:leader="none"/>
            </w:tabs>
            <w:spacing w:before="0" w:after="0"/>
            <w:jc w:val="center"/>
            <w:rPr>
              <w:rFonts w:ascii="Arial" w:hAnsi="Arial"/>
              <w:b/>
              <w:b/>
              <w:spacing w:val="60"/>
              <w:sz w:val="40"/>
            </w:rPr>
          </w:pPr>
          <w:r>
            <w:rPr>
              <w:rFonts w:ascii="Arial" w:hAnsi="Arial"/>
              <w:b/>
              <w:spacing w:val="60"/>
              <w:sz w:val="40"/>
            </w:rPr>
            <w:t>POWIATOWY URZĄD PRACY</w:t>
          </w:r>
        </w:p>
        <w:p>
          <w:pPr>
            <w:pStyle w:val="Zawartotabeli"/>
            <w:spacing w:before="0" w:after="0"/>
            <w:jc w:val="center"/>
            <w:rPr>
              <w:rFonts w:ascii="Arial" w:hAnsi="Arial"/>
              <w:sz w:val="18"/>
            </w:rPr>
          </w:pPr>
          <w:r>
            <w:rPr>
              <w:rFonts w:ascii="Arial" w:hAnsi="Arial"/>
              <w:sz w:val="18"/>
            </w:rPr>
          </w:r>
        </w:p>
        <w:p>
          <w:pPr>
            <w:pStyle w:val="Zawartotabeli"/>
            <w:spacing w:lineRule="auto" w:line="276" w:before="0" w:after="0"/>
            <w:jc w:val="center"/>
            <w:rPr>
              <w:rFonts w:ascii="Arial" w:hAnsi="Arial"/>
              <w:sz w:val="20"/>
            </w:rPr>
          </w:pPr>
          <w:r>
            <w:rPr>
              <w:rFonts w:ascii="Arial" w:hAnsi="Arial"/>
              <w:sz w:val="20"/>
            </w:rPr>
            <w:t>ul. Rzeźnicza 12, 41-200 Sosnowiec, tel. 32/ 297-87-00</w:t>
          </w:r>
        </w:p>
        <w:p>
          <w:pPr>
            <w:pStyle w:val="Zawartotabeli"/>
            <w:spacing w:lineRule="auto" w:line="276" w:before="0" w:after="0"/>
            <w:jc w:val="center"/>
            <w:rPr>
              <w:rFonts w:ascii="Arial" w:hAnsi="Arial"/>
              <w:sz w:val="20"/>
              <w:lang w:val="en-US"/>
            </w:rPr>
          </w:pPr>
          <w:r>
            <w:rPr>
              <w:rFonts w:ascii="Arial" w:hAnsi="Arial"/>
              <w:sz w:val="20"/>
              <w:lang w:val="en-US"/>
            </w:rPr>
            <w:t xml:space="preserve">e-mail: </w:t>
          </w:r>
          <w:r>
            <w:rPr>
              <w:rFonts w:ascii="Arial" w:hAnsi="Arial"/>
              <w:color w:val="000000" w:themeColor="text1"/>
              <w:sz w:val="20"/>
              <w:lang w:val="en-US"/>
            </w:rPr>
            <w:t>kaso@praca.gov.pl</w:t>
          </w:r>
          <w:r>
            <w:rPr>
              <w:rFonts w:ascii="Arial" w:hAnsi="Arial"/>
              <w:sz w:val="20"/>
              <w:lang w:val="en-US"/>
            </w:rPr>
            <w:t>,</w:t>
          </w:r>
        </w:p>
        <w:p>
          <w:pPr>
            <w:pStyle w:val="Zawartotabeli"/>
            <w:spacing w:lineRule="auto" w:line="276" w:before="0" w:after="0"/>
            <w:jc w:val="center"/>
            <w:rPr>
              <w:rFonts w:ascii="Arial" w:hAnsi="Arial"/>
              <w:sz w:val="20"/>
            </w:rPr>
          </w:pPr>
          <w:r>
            <w:rPr>
              <w:rFonts w:ascii="Arial" w:hAnsi="Arial"/>
              <w:sz w:val="20"/>
            </w:rPr>
            <w:t>strona internetowa: www.bip.pup.sosnowiec.pl, www.sosnowiec.praca.gov.pl</w:t>
            <w:br/>
          </w:r>
        </w:p>
      </w:tc>
    </w:tr>
  </w:tbl>
  <w:p>
    <w:pPr>
      <w:pStyle w:val="Gwka"/>
      <w:widowControl/>
      <w:tabs>
        <w:tab w:val="center" w:pos="4536" w:leader="none"/>
        <w:tab w:val="right" w:pos="9072" w:leader="none"/>
      </w:tabs>
      <w:suppressAutoHyphens w:val="false"/>
      <w:spacing w:lineRule="auto" w:line="276"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tabs>
        <w:tab w:val="center" w:pos="4536" w:leader="none"/>
        <w:tab w:val="right" w:pos="9072" w:leader="none"/>
      </w:tabs>
      <w:suppressAutoHyphens w:val="false"/>
      <w:spacing w:lineRule="auto" w:line="276" w:before="0" w:after="20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widowControl/>
      <w:tabs>
        <w:tab w:val="center" w:pos="4536" w:leader="none"/>
        <w:tab w:val="right" w:pos="9072" w:leader="none"/>
      </w:tabs>
      <w:suppressAutoHyphens w:val="false"/>
      <w:spacing w:lineRule="auto" w:line="276"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lvl w:ilvl="0">
      <w:start w:val="1"/>
      <w:numFmt w:val="decimal"/>
      <w:lvlText w:val="%1."/>
      <w:lvlJc w:val="left"/>
      <w:pPr>
        <w:ind w:left="720" w:hanging="360"/>
      </w:pPr>
      <w:rPr>
        <w:sz w:val="3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lvl w:ilvl="0">
      <w:start w:val="1"/>
      <w:numFmt w:val="decimal"/>
      <w:lvlText w:val="%1)"/>
      <w:lvlJc w:val="left"/>
      <w:pPr>
        <w:ind w:left="1146" w:hanging="360"/>
      </w:pPr>
      <w:rPr>
        <w:b/>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14">
    <w:lvl w:ilvl="0">
      <w:start w:val="1"/>
      <w:numFmt w:val="bullet"/>
      <w:lvlText w:val=""/>
      <w:lvlJc w:val="left"/>
      <w:pPr>
        <w:ind w:left="1866" w:hanging="360"/>
      </w:pPr>
      <w:rPr>
        <w:rFonts w:ascii="Symbol" w:hAnsi="Symbol" w:cs="Symbol" w:hint="default"/>
      </w:r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Pr>
    </w:lvl>
  </w:abstractNum>
  <w:abstractNum w:abstractNumId="15">
    <w:lvl w:ilvl="0">
      <w:start w:val="2"/>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bullet"/>
      <w:lvlText w:val=""/>
      <w:lvlJc w:val="left"/>
      <w:pPr>
        <w:ind w:left="1866" w:hanging="360"/>
      </w:pPr>
      <w:rPr>
        <w:rFonts w:ascii="Symbol" w:hAnsi="Symbol" w:cs="Symbol" w:hint="default"/>
      </w:rPr>
    </w:lvl>
    <w:lvl w:ilvl="1">
      <w:start w:val="1"/>
      <w:numFmt w:val="bullet"/>
      <w:lvlText w:val="o"/>
      <w:lvlJc w:val="left"/>
      <w:pPr>
        <w:ind w:left="2586" w:hanging="360"/>
      </w:pPr>
      <w:rPr>
        <w:rFonts w:ascii="Courier New" w:hAnsi="Courier New" w:cs="Courier New" w:hint="default"/>
        <w:rFonts w:cs="Courier New"/>
      </w:rPr>
    </w:lvl>
    <w:lvl w:ilvl="2">
      <w:start w:val="1"/>
      <w:numFmt w:val="bullet"/>
      <w:lvlText w:val=""/>
      <w:lvlJc w:val="left"/>
      <w:pPr>
        <w:ind w:left="3306" w:hanging="360"/>
      </w:pPr>
      <w:rPr>
        <w:rFonts w:ascii="Wingdings" w:hAnsi="Wingdings" w:cs="Wingdings" w:hint="default"/>
      </w:rPr>
    </w:lvl>
    <w:lvl w:ilvl="3">
      <w:start w:val="1"/>
      <w:numFmt w:val="bullet"/>
      <w:lvlText w:val=""/>
      <w:lvlJc w:val="left"/>
      <w:pPr>
        <w:ind w:left="4026" w:hanging="360"/>
      </w:pPr>
      <w:rPr>
        <w:rFonts w:ascii="Symbol" w:hAnsi="Symbol" w:cs="Symbol" w:hint="default"/>
      </w:rPr>
    </w:lvl>
    <w:lvl w:ilvl="4">
      <w:start w:val="1"/>
      <w:numFmt w:val="bullet"/>
      <w:lvlText w:val="o"/>
      <w:lvlJc w:val="left"/>
      <w:pPr>
        <w:ind w:left="4746" w:hanging="360"/>
      </w:pPr>
      <w:rPr>
        <w:rFonts w:ascii="Courier New" w:hAnsi="Courier New" w:cs="Courier New" w:hint="default"/>
        <w:rFonts w:cs="Courier New"/>
      </w:rPr>
    </w:lvl>
    <w:lvl w:ilvl="5">
      <w:start w:val="1"/>
      <w:numFmt w:val="bullet"/>
      <w:lvlText w:val=""/>
      <w:lvlJc w:val="left"/>
      <w:pPr>
        <w:ind w:left="5466" w:hanging="360"/>
      </w:pPr>
      <w:rPr>
        <w:rFonts w:ascii="Wingdings" w:hAnsi="Wingdings" w:cs="Wingdings" w:hint="default"/>
      </w:rPr>
    </w:lvl>
    <w:lvl w:ilvl="6">
      <w:start w:val="1"/>
      <w:numFmt w:val="bullet"/>
      <w:lvlText w:val=""/>
      <w:lvlJc w:val="left"/>
      <w:pPr>
        <w:ind w:left="6186" w:hanging="360"/>
      </w:pPr>
      <w:rPr>
        <w:rFonts w:ascii="Symbol" w:hAnsi="Symbol" w:cs="Symbol" w:hint="default"/>
      </w:rPr>
    </w:lvl>
    <w:lvl w:ilvl="7">
      <w:start w:val="1"/>
      <w:numFmt w:val="bullet"/>
      <w:lvlText w:val="o"/>
      <w:lvlJc w:val="left"/>
      <w:pPr>
        <w:ind w:left="6906" w:hanging="360"/>
      </w:pPr>
      <w:rPr>
        <w:rFonts w:ascii="Courier New" w:hAnsi="Courier New" w:cs="Courier New" w:hint="default"/>
        <w:rFonts w:cs="Courier New"/>
      </w:rPr>
    </w:lvl>
    <w:lvl w:ilvl="8">
      <w:start w:val="1"/>
      <w:numFmt w:val="bullet"/>
      <w:lvlText w:val=""/>
      <w:lvlJc w:val="left"/>
      <w:pPr>
        <w:ind w:left="7626" w:hanging="360"/>
      </w:pPr>
      <w:rPr>
        <w:rFonts w:ascii="Wingdings" w:hAnsi="Wingdings" w:cs="Wingdings" w:hint="default"/>
      </w:rPr>
    </w:lvl>
  </w:abstractNum>
  <w:abstractNum w:abstractNumId="17">
    <w:lvl w:ilvl="0">
      <w:start w:val="3"/>
      <w:numFmt w:val="decimal"/>
      <w:lvlText w:val="%1)"/>
      <w:lvlJc w:val="left"/>
      <w:pPr>
        <w:ind w:left="144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19">
    <w:lvl w:ilvl="0">
      <w:start w:val="1"/>
      <w:numFmt w:val="bullet"/>
      <w:lvlText w:val=""/>
      <w:lvlJc w:val="left"/>
      <w:pPr>
        <w:ind w:left="1776" w:hanging="360"/>
      </w:pPr>
      <w:rPr>
        <w:rFonts w:ascii="Symbol" w:hAnsi="Symbol" w:cs="Symbol" w:hint="default"/>
      </w:rPr>
    </w:lvl>
    <w:lvl w:ilvl="1">
      <w:start w:val="1"/>
      <w:numFmt w:val="bullet"/>
      <w:lvlText w:val="o"/>
      <w:lvlJc w:val="left"/>
      <w:pPr>
        <w:ind w:left="2496" w:hanging="360"/>
      </w:pPr>
      <w:rPr>
        <w:rFonts w:ascii="Courier New" w:hAnsi="Courier New" w:cs="Courier New" w:hint="default"/>
        <w:rFonts w:cs="Courier New"/>
      </w:rPr>
    </w:lvl>
    <w:lvl w:ilvl="2">
      <w:start w:val="1"/>
      <w:numFmt w:val="bullet"/>
      <w:lvlText w:val=""/>
      <w:lvlJc w:val="left"/>
      <w:pPr>
        <w:ind w:left="3216" w:hanging="360"/>
      </w:pPr>
      <w:rPr>
        <w:rFonts w:ascii="Wingdings" w:hAnsi="Wingdings" w:cs="Wingdings" w:hint="default"/>
      </w:rPr>
    </w:lvl>
    <w:lvl w:ilvl="3">
      <w:start w:val="1"/>
      <w:numFmt w:val="bullet"/>
      <w:lvlText w:val=""/>
      <w:lvlJc w:val="left"/>
      <w:pPr>
        <w:ind w:left="3936" w:hanging="360"/>
      </w:pPr>
      <w:rPr>
        <w:rFonts w:ascii="Symbol" w:hAnsi="Symbol" w:cs="Symbol" w:hint="default"/>
      </w:rPr>
    </w:lvl>
    <w:lvl w:ilvl="4">
      <w:start w:val="1"/>
      <w:numFmt w:val="bullet"/>
      <w:lvlText w:val="o"/>
      <w:lvlJc w:val="left"/>
      <w:pPr>
        <w:ind w:left="4656" w:hanging="360"/>
      </w:pPr>
      <w:rPr>
        <w:rFonts w:ascii="Courier New" w:hAnsi="Courier New" w:cs="Courier New" w:hint="default"/>
        <w:rFonts w:cs="Courier New"/>
      </w:rPr>
    </w:lvl>
    <w:lvl w:ilvl="5">
      <w:start w:val="1"/>
      <w:numFmt w:val="bullet"/>
      <w:lvlText w:val=""/>
      <w:lvlJc w:val="left"/>
      <w:pPr>
        <w:ind w:left="5376" w:hanging="360"/>
      </w:pPr>
      <w:rPr>
        <w:rFonts w:ascii="Wingdings" w:hAnsi="Wingdings" w:cs="Wingdings" w:hint="default"/>
      </w:rPr>
    </w:lvl>
    <w:lvl w:ilvl="6">
      <w:start w:val="1"/>
      <w:numFmt w:val="bullet"/>
      <w:lvlText w:val=""/>
      <w:lvlJc w:val="left"/>
      <w:pPr>
        <w:ind w:left="6096" w:hanging="360"/>
      </w:pPr>
      <w:rPr>
        <w:rFonts w:ascii="Symbol" w:hAnsi="Symbol" w:cs="Symbol" w:hint="default"/>
      </w:rPr>
    </w:lvl>
    <w:lvl w:ilvl="7">
      <w:start w:val="1"/>
      <w:numFmt w:val="bullet"/>
      <w:lvlText w:val="o"/>
      <w:lvlJc w:val="left"/>
      <w:pPr>
        <w:ind w:left="6816" w:hanging="360"/>
      </w:pPr>
      <w:rPr>
        <w:rFonts w:ascii="Courier New" w:hAnsi="Courier New" w:cs="Courier New" w:hint="default"/>
        <w:rFonts w:cs="Courier New"/>
      </w:rPr>
    </w:lvl>
    <w:lvl w:ilvl="8">
      <w:start w:val="1"/>
      <w:numFmt w:val="bullet"/>
      <w:lvlText w:val=""/>
      <w:lvlJc w:val="left"/>
      <w:pPr>
        <w:ind w:left="7536" w:hanging="360"/>
      </w:pPr>
      <w:rPr>
        <w:rFonts w:ascii="Wingdings" w:hAnsi="Wingdings" w:cs="Wingdings" w:hint="default"/>
      </w:rPr>
    </w:lvl>
  </w:abstractNum>
  <w:abstractNum w:abstractNumId="20">
    <w:lvl w:ilvl="0">
      <w:start w:val="1"/>
      <w:numFmt w:val="decimal"/>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lvl w:ilvl="0">
      <w:start w:val="4"/>
      <w:numFmt w:val="decimal"/>
      <w:lvlText w:val="%1."/>
      <w:lvlJc w:val="left"/>
      <w:pPr>
        <w:ind w:left="720" w:hanging="360"/>
      </w:pPr>
      <w:rPr>
        <w:sz w:val="32"/>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23">
    <w:lvl w:ilvl="0">
      <w:start w:val="1"/>
      <w:numFmt w:val="upperRoman"/>
      <w:lvlText w:val="%1."/>
      <w:lvlJc w:val="left"/>
      <w:pPr>
        <w:ind w:left="851" w:hanging="491"/>
      </w:pPr>
      <w:rPr>
        <w:sz w:val="32"/>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08"/>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7d2d"/>
    <w:pPr>
      <w:widowControl w:val="false"/>
      <w:suppressAutoHyphens w:val="true"/>
      <w:bidi w:val="0"/>
      <w:spacing w:lineRule="auto" w:line="240" w:before="0" w:after="0"/>
      <w:jc w:val="left"/>
    </w:pPr>
    <w:rPr>
      <w:rFonts w:ascii="Times New Roman" w:hAnsi="Times New Roman" w:eastAsia="Lucida Sans Unicode" w:cs="Times New Roman"/>
      <w:color w:val="auto"/>
      <w:kern w:val="0"/>
      <w:sz w:val="24"/>
      <w:szCs w:val="20"/>
      <w:lang w:eastAsia="pl-PL" w:val="pl-PL" w:bidi="ar-SA"/>
    </w:rPr>
  </w:style>
  <w:style w:type="paragraph" w:styleId="Nagwek1">
    <w:name w:val="Heading 1"/>
    <w:basedOn w:val="Normal"/>
    <w:link w:val="Nagwek1Znak"/>
    <w:qFormat/>
    <w:rsid w:val="00b77d2d"/>
    <w:pPr>
      <w:keepNext/>
      <w:keepLines/>
      <w:spacing w:before="480" w:after="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Nagwek3">
    <w:name w:val="Heading 3"/>
    <w:basedOn w:val="Normal"/>
    <w:link w:val="Nagwek3Znak"/>
    <w:unhideWhenUsed/>
    <w:qFormat/>
    <w:rsid w:val="00b77d2d"/>
    <w:pPr>
      <w:keepNext/>
      <w:widowControl/>
      <w:suppressAutoHyphens w:val="false"/>
      <w:spacing w:lineRule="auto" w:line="360"/>
      <w:outlineLvl w:val="2"/>
    </w:pPr>
    <w:rPr>
      <w:rFonts w:eastAsia="Times New Roman"/>
      <w:b/>
    </w:rPr>
  </w:style>
  <w:style w:type="paragraph" w:styleId="Nagwek5">
    <w:name w:val="Heading 5"/>
    <w:basedOn w:val="Normal"/>
    <w:link w:val="Nagwek5Znak"/>
    <w:uiPriority w:val="9"/>
    <w:unhideWhenUsed/>
    <w:qFormat/>
    <w:rsid w:val="00b77d2d"/>
    <w:pPr>
      <w:keepNext/>
      <w:keepLines/>
      <w:spacing w:before="200" w:after="0"/>
      <w:outlineLvl w:val="4"/>
    </w:pPr>
    <w:rPr>
      <w:rFonts w:ascii="Calibri Light" w:hAnsi="Calibri Light" w:eastAsia="" w:cs="" w:asciiTheme="majorHAnsi" w:cstheme="majorBidi" w:eastAsiaTheme="majorEastAsia" w:hAnsiTheme="majorHAnsi"/>
      <w:color w:val="1F3763" w:themeColor="accent1" w:themeShade="7f"/>
    </w:rPr>
  </w:style>
  <w:style w:type="paragraph" w:styleId="Nagwek7">
    <w:name w:val="Heading 7"/>
    <w:basedOn w:val="Normal"/>
    <w:link w:val="Nagwek7Znak"/>
    <w:uiPriority w:val="99"/>
    <w:unhideWhenUsed/>
    <w:qFormat/>
    <w:rsid w:val="00b77d2d"/>
    <w:pPr>
      <w:keepNext/>
      <w:widowControl/>
      <w:suppressAutoHyphens w:val="false"/>
      <w:outlineLvl w:val="6"/>
    </w:pPr>
    <w:rPr>
      <w:rFonts w:eastAsia="Times New Roman"/>
      <w:b/>
      <w:sz w:val="28"/>
    </w:rPr>
  </w:style>
  <w:style w:type="paragraph" w:styleId="Nagwek8">
    <w:name w:val="Heading 8"/>
    <w:basedOn w:val="Normal"/>
    <w:link w:val="Nagwek8Znak"/>
    <w:uiPriority w:val="9"/>
    <w:unhideWhenUsed/>
    <w:qFormat/>
    <w:rsid w:val="00b77d2d"/>
    <w:pPr>
      <w:keepNext/>
      <w:keepLines/>
      <w:spacing w:before="200" w:after="0"/>
      <w:outlineLvl w:val="7"/>
    </w:pPr>
    <w:rPr>
      <w:rFonts w:ascii="Calibri Light" w:hAnsi="Calibri Light" w:eastAsia="" w:cs="" w:asciiTheme="majorHAnsi" w:cstheme="majorBidi" w:eastAsiaTheme="majorEastAsia" w:hAnsiTheme="majorHAnsi"/>
      <w:color w:val="404040" w:themeColor="text1" w:themeTint="bf"/>
      <w:sz w:val="20"/>
    </w:rPr>
  </w:style>
  <w:style w:type="paragraph" w:styleId="Nagwek9">
    <w:name w:val="Heading 9"/>
    <w:basedOn w:val="Normal"/>
    <w:link w:val="Nagwek9Znak"/>
    <w:uiPriority w:val="99"/>
    <w:unhideWhenUsed/>
    <w:qFormat/>
    <w:rsid w:val="00b77d2d"/>
    <w:pPr>
      <w:keepNext/>
      <w:widowControl/>
      <w:suppressAutoHyphens w:val="false"/>
      <w:spacing w:lineRule="auto" w:line="360"/>
      <w:jc w:val="both"/>
      <w:outlineLvl w:val="8"/>
    </w:pPr>
    <w:rPr>
      <w:rFonts w:eastAsia="Times New Roman"/>
      <w:b/>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b77d2d"/>
    <w:rPr>
      <w:rFonts w:ascii="Calibri Light" w:hAnsi="Calibri Light" w:eastAsia="" w:cs="" w:asciiTheme="majorHAnsi" w:cstheme="majorBidi" w:eastAsiaTheme="majorEastAsia" w:hAnsiTheme="majorHAnsi"/>
      <w:b/>
      <w:bCs/>
      <w:color w:val="2F5496" w:themeColor="accent1" w:themeShade="bf"/>
      <w:sz w:val="28"/>
      <w:szCs w:val="28"/>
      <w:lang w:eastAsia="pl-PL"/>
    </w:rPr>
  </w:style>
  <w:style w:type="character" w:styleId="Nagwek3Znak" w:customStyle="1">
    <w:name w:val="Nagłówek 3 Znak"/>
    <w:basedOn w:val="DefaultParagraphFont"/>
    <w:link w:val="Nagwek3"/>
    <w:qFormat/>
    <w:rsid w:val="00b77d2d"/>
    <w:rPr>
      <w:rFonts w:ascii="Times New Roman" w:hAnsi="Times New Roman" w:eastAsia="Times New Roman" w:cs="Times New Roman"/>
      <w:b/>
      <w:sz w:val="24"/>
      <w:szCs w:val="20"/>
      <w:lang w:eastAsia="pl-PL"/>
    </w:rPr>
  </w:style>
  <w:style w:type="character" w:styleId="Nagwek5Znak" w:customStyle="1">
    <w:name w:val="Nagłówek 5 Znak"/>
    <w:basedOn w:val="DefaultParagraphFont"/>
    <w:link w:val="Nagwek5"/>
    <w:uiPriority w:val="9"/>
    <w:qFormat/>
    <w:rsid w:val="00b77d2d"/>
    <w:rPr>
      <w:rFonts w:ascii="Calibri Light" w:hAnsi="Calibri Light" w:eastAsia="" w:cs="" w:asciiTheme="majorHAnsi" w:cstheme="majorBidi" w:eastAsiaTheme="majorEastAsia" w:hAnsiTheme="majorHAnsi"/>
      <w:color w:val="1F3763" w:themeColor="accent1" w:themeShade="7f"/>
      <w:sz w:val="24"/>
      <w:szCs w:val="20"/>
      <w:lang w:eastAsia="pl-PL"/>
    </w:rPr>
  </w:style>
  <w:style w:type="character" w:styleId="Nagwek7Znak" w:customStyle="1">
    <w:name w:val="Nagłówek 7 Znak"/>
    <w:basedOn w:val="DefaultParagraphFont"/>
    <w:link w:val="Nagwek7"/>
    <w:uiPriority w:val="99"/>
    <w:qFormat/>
    <w:rsid w:val="00b77d2d"/>
    <w:rPr>
      <w:rFonts w:ascii="Times New Roman" w:hAnsi="Times New Roman" w:eastAsia="Times New Roman" w:cs="Times New Roman"/>
      <w:b/>
      <w:sz w:val="28"/>
      <w:szCs w:val="20"/>
      <w:lang w:eastAsia="pl-PL"/>
    </w:rPr>
  </w:style>
  <w:style w:type="character" w:styleId="Nagwek8Znak" w:customStyle="1">
    <w:name w:val="Nagłówek 8 Znak"/>
    <w:basedOn w:val="DefaultParagraphFont"/>
    <w:link w:val="Nagwek8"/>
    <w:uiPriority w:val="9"/>
    <w:qFormat/>
    <w:rsid w:val="00b77d2d"/>
    <w:rPr>
      <w:rFonts w:ascii="Calibri Light" w:hAnsi="Calibri Light" w:eastAsia="" w:cs="" w:asciiTheme="majorHAnsi" w:cstheme="majorBidi" w:eastAsiaTheme="majorEastAsia" w:hAnsiTheme="majorHAnsi"/>
      <w:color w:val="404040" w:themeColor="text1" w:themeTint="bf"/>
      <w:sz w:val="20"/>
      <w:szCs w:val="20"/>
      <w:lang w:eastAsia="pl-PL"/>
    </w:rPr>
  </w:style>
  <w:style w:type="character" w:styleId="Nagwek9Znak" w:customStyle="1">
    <w:name w:val="Nagłówek 9 Znak"/>
    <w:basedOn w:val="DefaultParagraphFont"/>
    <w:link w:val="Nagwek9"/>
    <w:uiPriority w:val="99"/>
    <w:qFormat/>
    <w:rsid w:val="00b77d2d"/>
    <w:rPr>
      <w:rFonts w:ascii="Times New Roman" w:hAnsi="Times New Roman" w:eastAsia="Times New Roman" w:cs="Times New Roman"/>
      <w:b/>
      <w:sz w:val="24"/>
      <w:szCs w:val="20"/>
      <w:lang w:eastAsia="pl-PL"/>
    </w:rPr>
  </w:style>
  <w:style w:type="character" w:styleId="Czeinternetowe">
    <w:name w:val="Łącze internetowe"/>
    <w:basedOn w:val="DefaultParagraphFont"/>
    <w:uiPriority w:val="99"/>
    <w:unhideWhenUsed/>
    <w:rsid w:val="00b77d2d"/>
    <w:rPr>
      <w:color w:val="0563C1" w:themeColor="hyperlink"/>
      <w:u w:val="single"/>
    </w:rPr>
  </w:style>
  <w:style w:type="character" w:styleId="TekstpodstawowyZnak" w:customStyle="1">
    <w:name w:val="Tekst podstawowy Znak"/>
    <w:basedOn w:val="DefaultParagraphFont"/>
    <w:link w:val="Tekstpodstawowy"/>
    <w:uiPriority w:val="99"/>
    <w:qFormat/>
    <w:rsid w:val="00b77d2d"/>
    <w:rPr>
      <w:rFonts w:ascii="Times New Roman" w:hAnsi="Times New Roman" w:eastAsia="Lucida Sans Unicode" w:cs="Times New Roman"/>
      <w:sz w:val="24"/>
      <w:szCs w:val="20"/>
      <w:lang w:eastAsia="pl-PL"/>
    </w:rPr>
  </w:style>
  <w:style w:type="character" w:styleId="TekstdymkaZnak" w:customStyle="1">
    <w:name w:val="Tekst dymka Znak"/>
    <w:basedOn w:val="DefaultParagraphFont"/>
    <w:link w:val="Tekstdymka"/>
    <w:uiPriority w:val="99"/>
    <w:semiHidden/>
    <w:qFormat/>
    <w:rsid w:val="00b77d2d"/>
    <w:rPr>
      <w:rFonts w:ascii="Tahoma" w:hAnsi="Tahoma" w:eastAsia="Lucida Sans Unicode" w:cs="Tahoma"/>
      <w:sz w:val="16"/>
      <w:szCs w:val="16"/>
      <w:lang w:eastAsia="pl-PL"/>
    </w:rPr>
  </w:style>
  <w:style w:type="character" w:styleId="TekstprzypisudolnegoZnak" w:customStyle="1">
    <w:name w:val="Tekst przypisu dolnego Znak"/>
    <w:basedOn w:val="DefaultParagraphFont"/>
    <w:link w:val="Tekstprzypisudolnego"/>
    <w:uiPriority w:val="99"/>
    <w:qFormat/>
    <w:rsid w:val="00b77d2d"/>
    <w:rPr>
      <w:rFonts w:ascii="Calibri" w:hAnsi="Calibri" w:eastAsia="Calibri" w:cs="Times New Roman"/>
      <w:sz w:val="20"/>
      <w:szCs w:val="20"/>
    </w:rPr>
  </w:style>
  <w:style w:type="character" w:styleId="Footnotereference">
    <w:name w:val="footnote reference"/>
    <w:uiPriority w:val="99"/>
    <w:semiHidden/>
    <w:qFormat/>
    <w:rsid w:val="00b77d2d"/>
    <w:rPr>
      <w:vertAlign w:val="superscript"/>
    </w:rPr>
  </w:style>
  <w:style w:type="character" w:styleId="ZwykytekstZnak" w:customStyle="1">
    <w:name w:val="Zwykły tekst Znak"/>
    <w:basedOn w:val="DefaultParagraphFont"/>
    <w:link w:val="Zwykytekst"/>
    <w:uiPriority w:val="99"/>
    <w:semiHidden/>
    <w:qFormat/>
    <w:rsid w:val="00b77d2d"/>
    <w:rPr>
      <w:rFonts w:ascii="Consolas" w:hAnsi="Consolas" w:eastAsia="Lucida Sans Unicode" w:cs="Consolas"/>
      <w:sz w:val="21"/>
      <w:szCs w:val="21"/>
      <w:lang w:eastAsia="pl-PL"/>
    </w:rPr>
  </w:style>
  <w:style w:type="character" w:styleId="Tekstpodstawowy3Znak" w:customStyle="1">
    <w:name w:val="Tekst podstawowy 3 Znak"/>
    <w:basedOn w:val="DefaultParagraphFont"/>
    <w:link w:val="Tekstpodstawowy3"/>
    <w:uiPriority w:val="99"/>
    <w:qFormat/>
    <w:rsid w:val="00b77d2d"/>
    <w:rPr>
      <w:rFonts w:ascii="Times New Roman" w:hAnsi="Times New Roman" w:eastAsia="Lucida Sans Unicode" w:cs="Times New Roman"/>
      <w:sz w:val="16"/>
      <w:szCs w:val="16"/>
      <w:lang w:eastAsia="pl-PL"/>
    </w:rPr>
  </w:style>
  <w:style w:type="character" w:styleId="TekstkomentarzaZnak" w:customStyle="1">
    <w:name w:val="Tekst komentarza Znak"/>
    <w:basedOn w:val="DefaultParagraphFont"/>
    <w:link w:val="Tekstkomentarza"/>
    <w:uiPriority w:val="99"/>
    <w:semiHidden/>
    <w:qFormat/>
    <w:rsid w:val="00b77d2d"/>
    <w:rPr>
      <w:rFonts w:ascii="Calibri" w:hAnsi="Calibri" w:eastAsia="Calibri" w:cs="Times New Roman"/>
      <w:sz w:val="20"/>
      <w:szCs w:val="20"/>
    </w:rPr>
  </w:style>
  <w:style w:type="character" w:styleId="NagwekZnak" w:customStyle="1">
    <w:name w:val="Nagłówek Znak"/>
    <w:basedOn w:val="DefaultParagraphFont"/>
    <w:link w:val="Nagwek"/>
    <w:uiPriority w:val="99"/>
    <w:qFormat/>
    <w:rsid w:val="00b77d2d"/>
    <w:rPr>
      <w:rFonts w:ascii="Calibri" w:hAnsi="Calibri" w:eastAsia="Calibri" w:cs="Times New Roman"/>
    </w:rPr>
  </w:style>
  <w:style w:type="character" w:styleId="StopkaZnak" w:customStyle="1">
    <w:name w:val="Stopka Znak"/>
    <w:basedOn w:val="DefaultParagraphFont"/>
    <w:link w:val="Stopka"/>
    <w:uiPriority w:val="99"/>
    <w:qFormat/>
    <w:rsid w:val="00b77d2d"/>
    <w:rPr>
      <w:rFonts w:ascii="Times New Roman" w:hAnsi="Times New Roman" w:eastAsia="Times New Roman" w:cs="Times New Roman"/>
      <w:sz w:val="20"/>
      <w:szCs w:val="20"/>
      <w:lang w:eastAsia="pl-PL"/>
    </w:rPr>
  </w:style>
  <w:style w:type="character" w:styleId="TekstpodstawowywcityZnak" w:customStyle="1">
    <w:name w:val="Tekst podstawowy wcięty Znak"/>
    <w:basedOn w:val="DefaultParagraphFont"/>
    <w:link w:val="Tekstpodstawowywcity"/>
    <w:uiPriority w:val="99"/>
    <w:semiHidden/>
    <w:qFormat/>
    <w:rsid w:val="00b77d2d"/>
    <w:rPr>
      <w:rFonts w:ascii="Tahoma" w:hAnsi="Tahoma" w:eastAsia="Times New Roman" w:cs="Times New Roman"/>
      <w:sz w:val="24"/>
      <w:szCs w:val="20"/>
      <w:lang w:eastAsia="pl-PL"/>
    </w:rPr>
  </w:style>
  <w:style w:type="character" w:styleId="Tekstpodstawowy2Znak" w:customStyle="1">
    <w:name w:val="Tekst podstawowy 2 Znak"/>
    <w:basedOn w:val="DefaultParagraphFont"/>
    <w:link w:val="Tekstpodstawowy2"/>
    <w:uiPriority w:val="99"/>
    <w:semiHidden/>
    <w:qFormat/>
    <w:rsid w:val="00b77d2d"/>
    <w:rPr>
      <w:rFonts w:ascii="Tahoma" w:hAnsi="Tahoma" w:eastAsia="Times New Roman" w:cs="Times New Roman"/>
      <w:sz w:val="24"/>
      <w:szCs w:val="20"/>
      <w:lang w:eastAsia="pl-PL"/>
    </w:rPr>
  </w:style>
  <w:style w:type="character" w:styleId="TematkomentarzaZnak" w:customStyle="1">
    <w:name w:val="Temat komentarza Znak"/>
    <w:basedOn w:val="TekstkomentarzaZnak"/>
    <w:link w:val="Tematkomentarza"/>
    <w:uiPriority w:val="99"/>
    <w:semiHidden/>
    <w:qFormat/>
    <w:rsid w:val="00b77d2d"/>
    <w:rPr>
      <w:rFonts w:ascii="Calibri" w:hAnsi="Calibri" w:eastAsia="Calibri" w:cs="Times New Roman"/>
      <w:b/>
      <w:bCs/>
      <w:sz w:val="20"/>
      <w:szCs w:val="20"/>
    </w:rPr>
  </w:style>
  <w:style w:type="character" w:styleId="Annotationreference">
    <w:name w:val="annotation reference"/>
    <w:uiPriority w:val="99"/>
    <w:semiHidden/>
    <w:unhideWhenUsed/>
    <w:qFormat/>
    <w:rsid w:val="00b77d2d"/>
    <w:rPr>
      <w:sz w:val="16"/>
      <w:szCs w:val="16"/>
    </w:rPr>
  </w:style>
  <w:style w:type="character" w:styleId="Pagenumber">
    <w:name w:val="page number"/>
    <w:basedOn w:val="DefaultParagraphFont"/>
    <w:uiPriority w:val="99"/>
    <w:qFormat/>
    <w:rsid w:val="00b77d2d"/>
    <w:rPr/>
  </w:style>
  <w:style w:type="character" w:styleId="TekstprzypisukocowegoZnak" w:customStyle="1">
    <w:name w:val="Tekst przypisu końcowego Znak"/>
    <w:basedOn w:val="DefaultParagraphFont"/>
    <w:link w:val="Tekstprzypisukocowego"/>
    <w:uiPriority w:val="99"/>
    <w:semiHidden/>
    <w:qFormat/>
    <w:rsid w:val="00b77d2d"/>
    <w:rPr>
      <w:rFonts w:ascii="Calibri" w:hAnsi="Calibri" w:eastAsia="Calibri" w:cs="Times New Roman"/>
      <w:sz w:val="20"/>
      <w:szCs w:val="20"/>
    </w:rPr>
  </w:style>
  <w:style w:type="character" w:styleId="Endnotereference">
    <w:name w:val="endnote reference"/>
    <w:basedOn w:val="DefaultParagraphFont"/>
    <w:uiPriority w:val="99"/>
    <w:semiHidden/>
    <w:unhideWhenUsed/>
    <w:qFormat/>
    <w:rsid w:val="00b77d2d"/>
    <w:rPr>
      <w:vertAlign w:val="superscript"/>
    </w:rPr>
  </w:style>
  <w:style w:type="character" w:styleId="BezodstpwZnak" w:customStyle="1">
    <w:name w:val="Bez odstępów Znak"/>
    <w:basedOn w:val="DefaultParagraphFont"/>
    <w:link w:val="Bezodstpw"/>
    <w:uiPriority w:val="1"/>
    <w:qFormat/>
    <w:rsid w:val="003a230d"/>
    <w:rPr>
      <w:rFonts w:ascii="Calibri" w:hAnsi="Calibri" w:eastAsia="Calibri" w:cs="Times New Roman"/>
    </w:rPr>
  </w:style>
  <w:style w:type="character" w:styleId="AkapitzlistZnak" w:customStyle="1">
    <w:name w:val="Akapit z listą Znak"/>
    <w:link w:val="Akapitzlist"/>
    <w:uiPriority w:val="34"/>
    <w:qFormat/>
    <w:locked/>
    <w:rsid w:val="0097163a"/>
    <w:rPr>
      <w:rFonts w:ascii="Times New Roman" w:hAnsi="Times New Roman" w:eastAsia="Lucida Sans Unicode" w:cs="Times New Roman"/>
      <w:sz w:val="24"/>
      <w:szCs w:val="20"/>
      <w:lang w:eastAsia="pl-PL"/>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rPr>
  </w:style>
  <w:style w:type="character" w:styleId="ListLabel5">
    <w:name w:val="ListLabel 5"/>
    <w:qFormat/>
    <w:rPr>
      <w:b/>
    </w:rPr>
  </w:style>
  <w:style w:type="character" w:styleId="ListLabel6">
    <w:name w:val="ListLabel 6"/>
    <w:qFormat/>
    <w:rPr>
      <w:b/>
      <w:sz w:val="32"/>
    </w:rPr>
  </w:style>
  <w:style w:type="character" w:styleId="ListLabel7">
    <w:name w:val="ListLabel 7"/>
    <w:qFormat/>
    <w:rPr>
      <w:b/>
    </w:rPr>
  </w:style>
  <w:style w:type="character" w:styleId="ListLabel8">
    <w:name w:val="ListLabel 8"/>
    <w:qFormat/>
    <w:rPr>
      <w:b/>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b/>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rPr>
  </w:style>
  <w:style w:type="character" w:styleId="ListLabel27">
    <w:name w:val="ListLabel 27"/>
    <w:qFormat/>
    <w:rPr>
      <w:b/>
      <w:sz w:val="32"/>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bCs/>
      <w:sz w:val="32"/>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unhideWhenUsed/>
    <w:rsid w:val="00b77d2d"/>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Zawartotabeli" w:customStyle="1">
    <w:name w:val="Zawartość tabeli"/>
    <w:basedOn w:val="Tretekstu"/>
    <w:uiPriority w:val="99"/>
    <w:qFormat/>
    <w:rsid w:val="00b77d2d"/>
    <w:pPr>
      <w:suppressLineNumbers/>
    </w:pPr>
    <w:rPr/>
  </w:style>
  <w:style w:type="paragraph" w:styleId="TOCHeading">
    <w:name w:val="TOC Heading"/>
    <w:basedOn w:val="Nagwek1"/>
    <w:uiPriority w:val="39"/>
    <w:semiHidden/>
    <w:unhideWhenUsed/>
    <w:qFormat/>
    <w:rsid w:val="00b77d2d"/>
    <w:pPr>
      <w:widowControl/>
      <w:suppressAutoHyphens w:val="false"/>
      <w:spacing w:lineRule="auto" w:line="276"/>
    </w:pPr>
    <w:rPr/>
  </w:style>
  <w:style w:type="paragraph" w:styleId="Spistreci1">
    <w:name w:val="TOC 1"/>
    <w:basedOn w:val="Normal"/>
    <w:autoRedefine/>
    <w:uiPriority w:val="39"/>
    <w:unhideWhenUsed/>
    <w:qFormat/>
    <w:rsid w:val="00b77d2d"/>
    <w:pPr>
      <w:tabs>
        <w:tab w:val="left" w:pos="880" w:leader="none"/>
        <w:tab w:val="right" w:pos="9062" w:leader="dot"/>
      </w:tabs>
      <w:spacing w:lineRule="auto" w:line="360" w:before="0" w:after="120"/>
    </w:pPr>
    <w:rPr/>
  </w:style>
  <w:style w:type="paragraph" w:styleId="BalloonText">
    <w:name w:val="Balloon Text"/>
    <w:basedOn w:val="Normal"/>
    <w:link w:val="TekstdymkaZnak"/>
    <w:uiPriority w:val="99"/>
    <w:semiHidden/>
    <w:unhideWhenUsed/>
    <w:qFormat/>
    <w:rsid w:val="00b77d2d"/>
    <w:pPr/>
    <w:rPr>
      <w:rFonts w:ascii="Tahoma" w:hAnsi="Tahoma" w:cs="Tahoma"/>
      <w:sz w:val="16"/>
      <w:szCs w:val="16"/>
    </w:rPr>
  </w:style>
  <w:style w:type="paragraph" w:styleId="NormalWeb">
    <w:name w:val="Normal (Web)"/>
    <w:basedOn w:val="Normal"/>
    <w:uiPriority w:val="99"/>
    <w:unhideWhenUsed/>
    <w:qFormat/>
    <w:rsid w:val="00b77d2d"/>
    <w:pPr/>
    <w:rPr>
      <w:szCs w:val="24"/>
    </w:rPr>
  </w:style>
  <w:style w:type="paragraph" w:styleId="Footnotetext">
    <w:name w:val="footnote text"/>
    <w:basedOn w:val="Normal"/>
    <w:link w:val="TekstprzypisudolnegoZnak"/>
    <w:uiPriority w:val="99"/>
    <w:unhideWhenUsed/>
    <w:qFormat/>
    <w:rsid w:val="00b77d2d"/>
    <w:pPr>
      <w:widowControl/>
      <w:suppressAutoHyphens w:val="false"/>
    </w:pPr>
    <w:rPr>
      <w:rFonts w:ascii="Calibri" w:hAnsi="Calibri" w:eastAsia="Calibri"/>
      <w:sz w:val="20"/>
      <w:lang w:eastAsia="en-US"/>
    </w:rPr>
  </w:style>
  <w:style w:type="paragraph" w:styleId="ListParagraph">
    <w:name w:val="List Paragraph"/>
    <w:basedOn w:val="Normal"/>
    <w:link w:val="AkapitzlistZnak"/>
    <w:uiPriority w:val="34"/>
    <w:qFormat/>
    <w:rsid w:val="00b77d2d"/>
    <w:pPr>
      <w:spacing w:before="0" w:after="0"/>
      <w:ind w:left="720" w:hanging="0"/>
      <w:contextualSpacing/>
    </w:pPr>
    <w:rPr/>
  </w:style>
  <w:style w:type="paragraph" w:styleId="PlainText">
    <w:name w:val="Plain Text"/>
    <w:basedOn w:val="Normal"/>
    <w:link w:val="ZwykytekstZnak"/>
    <w:uiPriority w:val="99"/>
    <w:semiHidden/>
    <w:unhideWhenUsed/>
    <w:qFormat/>
    <w:rsid w:val="00b77d2d"/>
    <w:pPr/>
    <w:rPr>
      <w:rFonts w:ascii="Consolas" w:hAnsi="Consolas" w:cs="Consolas"/>
      <w:sz w:val="21"/>
      <w:szCs w:val="21"/>
    </w:rPr>
  </w:style>
  <w:style w:type="paragraph" w:styleId="BodyText3">
    <w:name w:val="Body Text 3"/>
    <w:basedOn w:val="Normal"/>
    <w:link w:val="Tekstpodstawowy3Znak"/>
    <w:uiPriority w:val="99"/>
    <w:unhideWhenUsed/>
    <w:qFormat/>
    <w:rsid w:val="00b77d2d"/>
    <w:pPr>
      <w:spacing w:before="0" w:after="120"/>
    </w:pPr>
    <w:rPr>
      <w:sz w:val="16"/>
      <w:szCs w:val="16"/>
    </w:rPr>
  </w:style>
  <w:style w:type="paragraph" w:styleId="Annotationtext">
    <w:name w:val="annotation text"/>
    <w:basedOn w:val="Normal"/>
    <w:link w:val="TekstkomentarzaZnak"/>
    <w:uiPriority w:val="99"/>
    <w:semiHidden/>
    <w:unhideWhenUsed/>
    <w:qFormat/>
    <w:rsid w:val="00b77d2d"/>
    <w:pPr>
      <w:widowControl/>
      <w:suppressAutoHyphens w:val="false"/>
      <w:spacing w:lineRule="auto" w:line="276" w:before="0" w:after="200"/>
    </w:pPr>
    <w:rPr>
      <w:rFonts w:ascii="Calibri" w:hAnsi="Calibri" w:eastAsia="Calibri"/>
      <w:sz w:val="20"/>
      <w:lang w:eastAsia="en-US"/>
    </w:rPr>
  </w:style>
  <w:style w:type="paragraph" w:styleId="Gwka">
    <w:name w:val="Header"/>
    <w:basedOn w:val="Normal"/>
    <w:link w:val="NagwekZnak"/>
    <w:uiPriority w:val="99"/>
    <w:unhideWhenUsed/>
    <w:rsid w:val="00b77d2d"/>
    <w:pPr>
      <w:widowControl/>
      <w:tabs>
        <w:tab w:val="center" w:pos="4536" w:leader="none"/>
        <w:tab w:val="right" w:pos="9072" w:leader="none"/>
      </w:tabs>
      <w:suppressAutoHyphens w:val="false"/>
      <w:spacing w:lineRule="auto" w:line="276" w:before="0" w:after="200"/>
    </w:pPr>
    <w:rPr>
      <w:rFonts w:ascii="Calibri" w:hAnsi="Calibri" w:eastAsia="Calibri"/>
      <w:sz w:val="22"/>
      <w:szCs w:val="22"/>
      <w:lang w:eastAsia="en-US"/>
    </w:rPr>
  </w:style>
  <w:style w:type="paragraph" w:styleId="Stopka">
    <w:name w:val="Footer"/>
    <w:basedOn w:val="Normal"/>
    <w:link w:val="StopkaZnak"/>
    <w:uiPriority w:val="99"/>
    <w:unhideWhenUsed/>
    <w:rsid w:val="00b77d2d"/>
    <w:pPr>
      <w:widowControl/>
      <w:tabs>
        <w:tab w:val="center" w:pos="4536" w:leader="none"/>
        <w:tab w:val="right" w:pos="9072" w:leader="none"/>
      </w:tabs>
      <w:suppressAutoHyphens w:val="false"/>
    </w:pPr>
    <w:rPr>
      <w:rFonts w:eastAsia="Times New Roman"/>
      <w:sz w:val="20"/>
    </w:rPr>
  </w:style>
  <w:style w:type="paragraph" w:styleId="ListBullet">
    <w:name w:val="List Bullet"/>
    <w:basedOn w:val="Normal"/>
    <w:autoRedefine/>
    <w:uiPriority w:val="99"/>
    <w:semiHidden/>
    <w:unhideWhenUsed/>
    <w:qFormat/>
    <w:rsid w:val="00b77d2d"/>
    <w:pPr>
      <w:widowControl/>
      <w:tabs>
        <w:tab w:val="left" w:pos="851" w:leader="none"/>
      </w:tabs>
      <w:suppressAutoHyphens w:val="false"/>
      <w:spacing w:lineRule="auto" w:line="360"/>
      <w:ind w:left="284" w:hanging="0"/>
      <w:jc w:val="both"/>
    </w:pPr>
    <w:rPr>
      <w:rFonts w:eastAsia="Times New Roman"/>
      <w:sz w:val="26"/>
      <w:szCs w:val="26"/>
    </w:rPr>
  </w:style>
  <w:style w:type="paragraph" w:styleId="Wcicietrecitekstu">
    <w:name w:val="Body Text Indent"/>
    <w:basedOn w:val="Normal"/>
    <w:link w:val="TekstpodstawowywcityZnak"/>
    <w:uiPriority w:val="99"/>
    <w:semiHidden/>
    <w:unhideWhenUsed/>
    <w:rsid w:val="00b77d2d"/>
    <w:pPr>
      <w:widowControl/>
      <w:suppressAutoHyphens w:val="false"/>
      <w:spacing w:lineRule="auto" w:line="360"/>
      <w:ind w:hanging="28"/>
      <w:jc w:val="both"/>
    </w:pPr>
    <w:rPr>
      <w:rFonts w:ascii="Tahoma" w:hAnsi="Tahoma" w:eastAsia="Times New Roman"/>
    </w:rPr>
  </w:style>
  <w:style w:type="paragraph" w:styleId="BodyText2">
    <w:name w:val="Body Text 2"/>
    <w:basedOn w:val="Normal"/>
    <w:link w:val="Tekstpodstawowy2Znak"/>
    <w:uiPriority w:val="99"/>
    <w:semiHidden/>
    <w:unhideWhenUsed/>
    <w:qFormat/>
    <w:rsid w:val="00b77d2d"/>
    <w:pPr>
      <w:widowControl/>
      <w:tabs>
        <w:tab w:val="left" w:pos="1134" w:leader="none"/>
      </w:tabs>
      <w:suppressAutoHyphens w:val="false"/>
      <w:spacing w:lineRule="atLeast" w:line="440"/>
      <w:jc w:val="both"/>
    </w:pPr>
    <w:rPr>
      <w:rFonts w:ascii="Tahoma" w:hAnsi="Tahoma" w:eastAsia="Times New Roman"/>
    </w:rPr>
  </w:style>
  <w:style w:type="paragraph" w:styleId="Annotationsubject">
    <w:name w:val="annotation subject"/>
    <w:basedOn w:val="Annotationtext"/>
    <w:link w:val="TematkomentarzaZnak"/>
    <w:uiPriority w:val="99"/>
    <w:semiHidden/>
    <w:unhideWhenUsed/>
    <w:qFormat/>
    <w:rsid w:val="00b77d2d"/>
    <w:pPr/>
    <w:rPr>
      <w:b/>
      <w:bCs/>
    </w:rPr>
  </w:style>
  <w:style w:type="paragraph" w:styleId="NoSpacing">
    <w:name w:val="No Spacing"/>
    <w:link w:val="BezodstpwZnak"/>
    <w:uiPriority w:val="1"/>
    <w:qFormat/>
    <w:rsid w:val="00b77d2d"/>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4"/>
      <w:szCs w:val="22"/>
      <w:lang w:val="pl-PL" w:eastAsia="en-US" w:bidi="ar-SA"/>
    </w:rPr>
  </w:style>
  <w:style w:type="paragraph" w:styleId="WWTekstdugiegocytatu" w:customStyle="1">
    <w:name w:val="WW-Tekst długiego cytatu"/>
    <w:basedOn w:val="Normal"/>
    <w:uiPriority w:val="99"/>
    <w:qFormat/>
    <w:rsid w:val="00b77d2d"/>
    <w:pPr>
      <w:widowControl/>
      <w:ind w:left="-284" w:right="-426" w:hanging="0"/>
    </w:pPr>
    <w:rPr>
      <w:rFonts w:eastAsia="Times New Roman"/>
      <w:sz w:val="28"/>
    </w:rPr>
  </w:style>
  <w:style w:type="paragraph" w:styleId="Western1" w:customStyle="1">
    <w:name w:val="western1"/>
    <w:basedOn w:val="Normal"/>
    <w:uiPriority w:val="99"/>
    <w:qFormat/>
    <w:rsid w:val="00b77d2d"/>
    <w:pPr>
      <w:widowControl/>
      <w:suppressAutoHyphens w:val="false"/>
      <w:spacing w:beforeAutospacing="1" w:after="119"/>
      <w:jc w:val="center"/>
    </w:pPr>
    <w:rPr>
      <w:rFonts w:eastAsia="Times New Roman"/>
      <w:b/>
      <w:bCs/>
      <w:i/>
      <w:iCs/>
      <w:szCs w:val="24"/>
    </w:rPr>
  </w:style>
  <w:style w:type="paragraph" w:styleId="Akapitzlist1" w:customStyle="1">
    <w:name w:val="Akapit z listą1"/>
    <w:basedOn w:val="Normal"/>
    <w:uiPriority w:val="99"/>
    <w:qFormat/>
    <w:rsid w:val="00b77d2d"/>
    <w:pPr>
      <w:widowControl/>
      <w:suppressAutoHyphens w:val="false"/>
      <w:spacing w:before="0" w:after="0"/>
      <w:ind w:left="720" w:hanging="0"/>
      <w:contextualSpacing/>
    </w:pPr>
    <w:rPr>
      <w:rFonts w:eastAsia="Calibri"/>
      <w:sz w:val="20"/>
    </w:rPr>
  </w:style>
  <w:style w:type="paragraph" w:styleId="Standard" w:customStyle="1">
    <w:name w:val="Standard"/>
    <w:uiPriority w:val="99"/>
    <w:qFormat/>
    <w:rsid w:val="00b77d2d"/>
    <w:pPr>
      <w:widowControl/>
      <w:suppressAutoHyphens w:val="true"/>
      <w:bidi w:val="0"/>
      <w:spacing w:lineRule="auto" w:line="276" w:before="0" w:after="200"/>
      <w:jc w:val="left"/>
    </w:pPr>
    <w:rPr>
      <w:rFonts w:ascii="Calibri" w:hAnsi="Calibri" w:eastAsia="Lucida Sans Unicode" w:cs="F" w:asciiTheme="minorHAnsi" w:hAnsiTheme="minorHAnsi"/>
      <w:color w:val="auto"/>
      <w:kern w:val="2"/>
      <w:sz w:val="24"/>
      <w:szCs w:val="22"/>
      <w:lang w:val="pl-PL" w:eastAsia="en-US" w:bidi="ar-SA"/>
    </w:rPr>
  </w:style>
  <w:style w:type="paragraph" w:styleId="Akapitzlist2" w:customStyle="1">
    <w:name w:val="Akapit z listą2"/>
    <w:basedOn w:val="Normal"/>
    <w:qFormat/>
    <w:rsid w:val="00b77d2d"/>
    <w:pPr>
      <w:widowControl/>
      <w:suppressAutoHyphens w:val="false"/>
      <w:spacing w:before="0" w:after="0"/>
      <w:ind w:left="720" w:hanging="0"/>
      <w:contextualSpacing/>
    </w:pPr>
    <w:rPr>
      <w:rFonts w:eastAsia="Calibri"/>
      <w:sz w:val="20"/>
    </w:rPr>
  </w:style>
  <w:style w:type="paragraph" w:styleId="Endnotetext">
    <w:name w:val="endnote text"/>
    <w:basedOn w:val="Normal"/>
    <w:link w:val="TekstprzypisukocowegoZnak"/>
    <w:uiPriority w:val="99"/>
    <w:semiHidden/>
    <w:unhideWhenUsed/>
    <w:qFormat/>
    <w:rsid w:val="00b77d2d"/>
    <w:pPr>
      <w:widowControl/>
      <w:suppressAutoHyphens w:val="false"/>
      <w:spacing w:lineRule="auto" w:line="276" w:before="0" w:after="200"/>
    </w:pPr>
    <w:rPr>
      <w:rFonts w:ascii="Calibri" w:hAnsi="Calibri" w:eastAsia="Calibri"/>
      <w:sz w:val="20"/>
      <w:lang w:eastAsia="en-US"/>
    </w:rPr>
  </w:style>
  <w:style w:type="paragraph" w:styleId="Spistreci3">
    <w:name w:val="TOC 3"/>
    <w:basedOn w:val="Normal"/>
    <w:autoRedefine/>
    <w:uiPriority w:val="39"/>
    <w:unhideWhenUsed/>
    <w:rsid w:val="00b77d2d"/>
    <w:pPr>
      <w:spacing w:before="0" w:after="100"/>
      <w:ind w:left="480" w:hanging="0"/>
    </w:pPr>
    <w:rPr/>
  </w:style>
  <w:style w:type="paragraph" w:styleId="Default" w:customStyle="1">
    <w:name w:val="Default"/>
    <w:qFormat/>
    <w:rsid w:val="0097163a"/>
    <w:pPr>
      <w:widowControl/>
      <w:bidi w:val="0"/>
      <w:spacing w:lineRule="auto" w:line="240" w:before="0" w:after="0"/>
      <w:jc w:val="left"/>
    </w:pPr>
    <w:rPr>
      <w:rFonts w:ascii="Calibri" w:hAnsi="Calibri" w:eastAsia="Calibri" w:cs="Calibri"/>
      <w:color w:val="000000"/>
      <w:kern w:val="0"/>
      <w:sz w:val="24"/>
      <w:szCs w:val="24"/>
      <w:lang w:eastAsia="pl-PL" w:val="pl-PL" w:bidi="ar-SA"/>
    </w:rPr>
  </w:style>
  <w:style w:type="paragraph" w:styleId="Zawartoramki">
    <w:name w:val="Zawartość ramki"/>
    <w:basedOn w:val="Normal"/>
    <w:qFormat/>
    <w:pPr/>
    <w:rPr/>
  </w:style>
  <w:style w:type="paragraph" w:styleId="Przypisdolny">
    <w:name w:val="Footnote Text"/>
    <w:basedOn w:val="Normal"/>
    <w:pPr/>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b77d2d"/>
  </w:style>
  <w:style w:type="numbering" w:styleId="Bezlisty2" w:customStyle="1">
    <w:name w:val="Bez listy2"/>
    <w:uiPriority w:val="99"/>
    <w:semiHidden/>
    <w:unhideWhenUsed/>
    <w:qFormat/>
    <w:rsid w:val="00b77d2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b77d2d"/>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chart" Target="charts/chart2.xml"/><Relationship Id="rId4" Type="http://schemas.openxmlformats.org/officeDocument/2006/relationships/chart" Target="charts/chart3.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chart" Target="charts/chart4.xml"/><Relationship Id="rId9" Type="http://schemas.openxmlformats.org/officeDocument/2006/relationships/chart" Target="charts/chart5.xml"/><Relationship Id="rId10" Type="http://schemas.openxmlformats.org/officeDocument/2006/relationships/chart" Target="charts/chart6.xml"/><Relationship Id="rId11" Type="http://schemas.openxmlformats.org/officeDocument/2006/relationships/chart" Target="charts/chart7.xml"/><Relationship Id="rId12" Type="http://schemas.openxmlformats.org/officeDocument/2006/relationships/chart" Target="charts/chart8.xml"/><Relationship Id="rId13" Type="http://schemas.openxmlformats.org/officeDocument/2006/relationships/chart" Target="charts/chart9.xml"/><Relationship Id="rId14" Type="http://schemas.openxmlformats.org/officeDocument/2006/relationships/header" Target="header3.xml"/><Relationship Id="rId15" Type="http://schemas.openxmlformats.org/officeDocument/2006/relationships/footer" Target="footer2.xml"/><Relationship Id="rId16" Type="http://schemas.openxmlformats.org/officeDocument/2006/relationships/header" Target="header4.xml"/><Relationship Id="rId17" Type="http://schemas.openxmlformats.org/officeDocument/2006/relationships/footer" Target="footer3.xml"/><Relationship Id="rId18" Type="http://schemas.openxmlformats.org/officeDocument/2006/relationships/footnotes" Target="footnotes.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charts/_rels/chart6.xml.rels><?xml version="1.0" encoding="UTF-8"?>
<Relationships xmlns="http://schemas.openxmlformats.org/package/2006/relationships"><Relationship Id="rId1" Type="http://schemas.openxmlformats.org/officeDocument/2006/relationships/package" Target="../embeddings/Microsoft_Excel_Worksheet.xlsx"/>
</Relationships>
</file>

<file path=word/charts/_rels/chart7.xml.rels><?xml version="1.0" encoding="UTF-8"?>
<Relationships xmlns="http://schemas.openxmlformats.org/package/2006/relationships"><Relationship Id="rId1" Type="http://schemas.openxmlformats.org/officeDocument/2006/relationships/package" Target="../embeddings/Microsoft_Excel_Worksheet1.xlsx"/>
</Relationships>
</file>

<file path=word/charts/_rels/chart8.xml.rels><?xml version="1.0" encoding="UTF-8"?>
<Relationships xmlns="http://schemas.openxmlformats.org/package/2006/relationships"><Relationship Id="rId1" Type="http://schemas.openxmlformats.org/officeDocument/2006/relationships/package" Target="../embeddings/Microsoft_Excel_Worksheet2.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595959"/>
                </a:solidFill>
                <a:latin typeface="Calibri"/>
              </a:defRPr>
            </a:pPr>
            <a:r>
              <a:rPr b="1" sz="1200" spc="-1" strike="noStrike">
                <a:solidFill>
                  <a:srgbClr val="595959"/>
                </a:solidFill>
                <a:latin typeface="Calibri"/>
              </a:rPr>
              <a:t>Liczba zarejestrowanych bezrobotnych</a:t>
            </a:r>
          </a:p>
        </c:rich>
      </c:tx>
      <c:overlay val="0"/>
    </c:title>
    <c:autoTitleDeleted val="0"/>
    <c:plotArea>
      <c:barChart>
        <c:barDir val="col"/>
        <c:grouping val="clustered"/>
        <c:varyColors val="0"/>
        <c:ser>
          <c:idx val="0"/>
          <c:order val="0"/>
          <c:tx>
            <c:strRef>
              <c:f>label 0</c:f>
              <c:strCache>
                <c:ptCount val="1"/>
                <c:pt idx="0">
                  <c:v>I kw.</c:v>
                </c:pt>
              </c:strCache>
            </c:strRef>
          </c:tx>
          <c:spPr>
            <a:solidFill>
              <a:srgbClr val="4472c4"/>
            </a:solidFill>
            <a:ln>
              <a:noFill/>
            </a:ln>
          </c:spPr>
          <c:invertIfNegative val="0"/>
          <c:dLbls>
            <c:dLblPos val="outEnd"/>
            <c:showLegendKey val="0"/>
            <c:showVal val="1"/>
            <c:showCatName val="0"/>
            <c:showSerName val="0"/>
            <c:showPercent val="0"/>
            <c:showLeaderLines val="0"/>
          </c:dLbls>
          <c:cat>
            <c:strRef>
              <c:f>categories</c:f>
              <c:strCache>
                <c:ptCount val="2"/>
                <c:pt idx="0">
                  <c:v>2020 r.</c:v>
                </c:pt>
                <c:pt idx="1">
                  <c:v>2021 r.</c:v>
                </c:pt>
              </c:strCache>
            </c:strRef>
          </c:cat>
          <c:val>
            <c:numRef>
              <c:f>0</c:f>
              <c:numCache>
                <c:formatCode>General</c:formatCode>
                <c:ptCount val="2"/>
                <c:pt idx="0">
                  <c:v>4002</c:v>
                </c:pt>
                <c:pt idx="1">
                  <c:v>5188</c:v>
                </c:pt>
              </c:numCache>
            </c:numRef>
          </c:val>
        </c:ser>
        <c:ser>
          <c:idx val="1"/>
          <c:order val="1"/>
          <c:tx>
            <c:strRef>
              <c:f>label 1</c:f>
              <c:strCache>
                <c:ptCount val="1"/>
                <c:pt idx="0">
                  <c:v>II kw.</c:v>
                </c:pt>
              </c:strCache>
            </c:strRef>
          </c:tx>
          <c:spPr>
            <a:solidFill>
              <a:srgbClr val="ed7d31"/>
            </a:solidFill>
            <a:ln>
              <a:noFill/>
            </a:ln>
          </c:spPr>
          <c:invertIfNegative val="0"/>
          <c:dLbls>
            <c:dLblPos val="outEnd"/>
            <c:showLegendKey val="0"/>
            <c:showVal val="1"/>
            <c:showCatName val="0"/>
            <c:showSerName val="0"/>
            <c:showPercent val="0"/>
            <c:showLeaderLines val="0"/>
          </c:dLbls>
          <c:cat>
            <c:strRef>
              <c:f>categories</c:f>
              <c:strCache>
                <c:ptCount val="2"/>
                <c:pt idx="0">
                  <c:v>2020 r.</c:v>
                </c:pt>
                <c:pt idx="1">
                  <c:v>2021 r.</c:v>
                </c:pt>
              </c:strCache>
            </c:strRef>
          </c:cat>
          <c:val>
            <c:numRef>
              <c:f>1</c:f>
              <c:numCache>
                <c:formatCode>General</c:formatCode>
                <c:ptCount val="2"/>
                <c:pt idx="0">
                  <c:v>4683</c:v>
                </c:pt>
                <c:pt idx="1">
                  <c:v>5013</c:v>
                </c:pt>
              </c:numCache>
            </c:numRef>
          </c:val>
        </c:ser>
        <c:ser>
          <c:idx val="2"/>
          <c:order val="2"/>
          <c:tx>
            <c:strRef>
              <c:f>label 2</c:f>
              <c:strCache>
                <c:ptCount val="1"/>
                <c:pt idx="0">
                  <c:v>III kw.</c:v>
                </c:pt>
              </c:strCache>
            </c:strRef>
          </c:tx>
          <c:spPr>
            <a:solidFill>
              <a:srgbClr val="a5a5a5"/>
            </a:solidFill>
            <a:ln>
              <a:noFill/>
            </a:ln>
          </c:spPr>
          <c:invertIfNegative val="0"/>
          <c:dLbls>
            <c:dLblPos val="outEnd"/>
            <c:showLegendKey val="0"/>
            <c:showVal val="1"/>
            <c:showCatName val="0"/>
            <c:showSerName val="0"/>
            <c:showPercent val="0"/>
            <c:showLeaderLines val="0"/>
          </c:dLbls>
          <c:cat>
            <c:strRef>
              <c:f>categories</c:f>
              <c:strCache>
                <c:ptCount val="2"/>
                <c:pt idx="0">
                  <c:v>2020 r.</c:v>
                </c:pt>
                <c:pt idx="1">
                  <c:v>2021 r.</c:v>
                </c:pt>
              </c:strCache>
            </c:strRef>
          </c:cat>
          <c:val>
            <c:numRef>
              <c:f>2</c:f>
              <c:numCache>
                <c:formatCode>General</c:formatCode>
                <c:ptCount val="2"/>
                <c:pt idx="0">
                  <c:v>4855</c:v>
                </c:pt>
                <c:pt idx="1">
                  <c:v>4910</c:v>
                </c:pt>
              </c:numCache>
            </c:numRef>
          </c:val>
        </c:ser>
        <c:ser>
          <c:idx val="3"/>
          <c:order val="3"/>
          <c:tx>
            <c:strRef>
              <c:f>label 3</c:f>
              <c:strCache>
                <c:ptCount val="1"/>
                <c:pt idx="0">
                  <c:v>IV kw.</c:v>
                </c:pt>
              </c:strCache>
            </c:strRef>
          </c:tx>
          <c:spPr>
            <a:solidFill>
              <a:srgbClr val="ffc000"/>
            </a:solidFill>
            <a:ln>
              <a:noFill/>
            </a:ln>
          </c:spPr>
          <c:invertIfNegative val="0"/>
          <c:dLbls>
            <c:dLblPos val="outEnd"/>
            <c:showLegendKey val="0"/>
            <c:showVal val="1"/>
            <c:showCatName val="0"/>
            <c:showSerName val="0"/>
            <c:showPercent val="0"/>
            <c:showLeaderLines val="0"/>
          </c:dLbls>
          <c:cat>
            <c:strRef>
              <c:f>categories</c:f>
              <c:strCache>
                <c:ptCount val="2"/>
                <c:pt idx="0">
                  <c:v>2020 r.</c:v>
                </c:pt>
                <c:pt idx="1">
                  <c:v>2021 r.</c:v>
                </c:pt>
              </c:strCache>
            </c:strRef>
          </c:cat>
          <c:val>
            <c:numRef>
              <c:f>3</c:f>
              <c:numCache>
                <c:formatCode>General</c:formatCode>
                <c:ptCount val="2"/>
                <c:pt idx="0">
                  <c:v>4890</c:v>
                </c:pt>
                <c:pt idx="1">
                  <c:v>4307</c:v>
                </c:pt>
              </c:numCache>
            </c:numRef>
          </c:val>
        </c:ser>
        <c:gapWidth val="219"/>
        <c:overlap val="-27"/>
        <c:axId val="11300401"/>
        <c:axId val="19496131"/>
      </c:barChart>
      <c:catAx>
        <c:axId val="11300401"/>
        <c:scaling>
          <c:orientation val="minMax"/>
        </c:scaling>
        <c:delete val="0"/>
        <c:axPos val="b"/>
        <c:numFmt formatCode="MM/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19496131"/>
        <c:crosses val="autoZero"/>
        <c:auto val="1"/>
        <c:lblAlgn val="ctr"/>
        <c:lblOffset val="100"/>
      </c:catAx>
      <c:valAx>
        <c:axId val="19496131"/>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b="0" sz="900" spc="-1" strike="noStrike">
                <a:solidFill>
                  <a:srgbClr val="595959"/>
                </a:solidFill>
                <a:latin typeface="Calibri"/>
              </a:defRPr>
            </a:pPr>
          </a:p>
        </c:txPr>
        <c:crossAx val="11300401"/>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chartSpace>
</file>

<file path=word/charts/chart2.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sz="1400" spc="-1" strike="noStrike">
                <a:solidFill>
                  <a:srgbClr val="595959"/>
                </a:solidFill>
                <a:latin typeface="Calibri"/>
              </a:defRPr>
            </a:pPr>
            <a:r>
              <a:rPr b="0" sz="1400" spc="-1" strike="noStrike">
                <a:solidFill>
                  <a:srgbClr val="595959"/>
                </a:solidFill>
                <a:latin typeface="Calibri"/>
              </a:rPr>
              <a:t>Stopa bezrobocia</a:t>
            </a:r>
          </a:p>
        </c:rich>
      </c:tx>
      <c:overlay val="0"/>
    </c:title>
    <c:autoTitleDeleted val="0"/>
    <c:plotArea>
      <c:barChart>
        <c:barDir val="col"/>
        <c:grouping val="clustered"/>
        <c:varyColors val="0"/>
        <c:ser>
          <c:idx val="0"/>
          <c:order val="0"/>
          <c:tx>
            <c:strRef>
              <c:f>label 0</c:f>
              <c:strCache>
                <c:ptCount val="1"/>
                <c:pt idx="0">
                  <c:v>Sosnowiec</c:v>
                </c:pt>
              </c:strCache>
            </c:strRef>
          </c:tx>
          <c:spPr>
            <a:solidFill>
              <a:srgbClr val="4472c4"/>
            </a:solidFill>
            <a:ln>
              <a:noFill/>
            </a:ln>
          </c:spPr>
          <c:invertIfNegative val="0"/>
          <c:dLbls>
            <c:dLblPos val="outEnd"/>
            <c:showLegendKey val="0"/>
            <c:showVal val="1"/>
            <c:showCatName val="0"/>
            <c:showSerName val="0"/>
            <c:showPercent val="0"/>
            <c:showLeaderLines val="0"/>
          </c:dLbls>
          <c:cat>
            <c:strRef>
              <c:f>categories</c:f>
              <c:strCache>
                <c:ptCount val="4"/>
                <c:pt idx="0">
                  <c:v>I kwartał</c:v>
                </c:pt>
                <c:pt idx="1">
                  <c:v>II kwartał</c:v>
                </c:pt>
                <c:pt idx="2">
                  <c:v>III kwartał</c:v>
                </c:pt>
                <c:pt idx="3">
                  <c:v>IV kwartał</c:v>
                </c:pt>
              </c:strCache>
            </c:strRef>
          </c:cat>
          <c:val>
            <c:numRef>
              <c:f>0</c:f>
              <c:numCache>
                <c:formatCode>General</c:formatCode>
                <c:ptCount val="4"/>
                <c:pt idx="0">
                  <c:v>7.2</c:v>
                </c:pt>
                <c:pt idx="1">
                  <c:v>7</c:v>
                </c:pt>
                <c:pt idx="2">
                  <c:v>6.9</c:v>
                </c:pt>
                <c:pt idx="3">
                  <c:v>6.1</c:v>
                </c:pt>
              </c:numCache>
            </c:numRef>
          </c:val>
        </c:ser>
        <c:ser>
          <c:idx val="1"/>
          <c:order val="1"/>
          <c:tx>
            <c:strRef>
              <c:f>label 1</c:f>
              <c:strCache>
                <c:ptCount val="1"/>
                <c:pt idx="0">
                  <c:v>Kraj</c:v>
                </c:pt>
              </c:strCache>
            </c:strRef>
          </c:tx>
          <c:spPr>
            <a:solidFill>
              <a:srgbClr val="ed7d31"/>
            </a:solidFill>
            <a:ln>
              <a:noFill/>
            </a:ln>
          </c:spPr>
          <c:invertIfNegative val="0"/>
          <c:dLbls>
            <c:dLblPos val="outEnd"/>
            <c:showLegendKey val="0"/>
            <c:showVal val="1"/>
            <c:showCatName val="0"/>
            <c:showSerName val="0"/>
            <c:showPercent val="0"/>
            <c:showLeaderLines val="0"/>
          </c:dLbls>
          <c:cat>
            <c:strRef>
              <c:f>categories</c:f>
              <c:strCache>
                <c:ptCount val="4"/>
                <c:pt idx="0">
                  <c:v>I kwartał</c:v>
                </c:pt>
                <c:pt idx="1">
                  <c:v>II kwartał</c:v>
                </c:pt>
                <c:pt idx="2">
                  <c:v>III kwartał</c:v>
                </c:pt>
                <c:pt idx="3">
                  <c:v>IV kwartał</c:v>
                </c:pt>
              </c:strCache>
            </c:strRef>
          </c:cat>
          <c:val>
            <c:numRef>
              <c:f>1</c:f>
              <c:numCache>
                <c:formatCode>General</c:formatCode>
                <c:ptCount val="4"/>
                <c:pt idx="0">
                  <c:v>6.4</c:v>
                </c:pt>
                <c:pt idx="1">
                  <c:v>6</c:v>
                </c:pt>
                <c:pt idx="2">
                  <c:v>5.6</c:v>
                </c:pt>
                <c:pt idx="3">
                  <c:v>5.4</c:v>
                </c:pt>
              </c:numCache>
            </c:numRef>
          </c:val>
        </c:ser>
        <c:ser>
          <c:idx val="2"/>
          <c:order val="2"/>
          <c:tx>
            <c:strRef>
              <c:f>label 2</c:f>
              <c:strCache>
                <c:ptCount val="1"/>
                <c:pt idx="0">
                  <c:v>Śląsk</c:v>
                </c:pt>
              </c:strCache>
            </c:strRef>
          </c:tx>
          <c:spPr>
            <a:solidFill>
              <a:srgbClr val="a5a5a5"/>
            </a:solidFill>
            <a:ln>
              <a:noFill/>
            </a:ln>
          </c:spPr>
          <c:invertIfNegative val="0"/>
          <c:dLbls>
            <c:dLblPos val="outEnd"/>
            <c:showLegendKey val="0"/>
            <c:showVal val="1"/>
            <c:showCatName val="0"/>
            <c:showSerName val="0"/>
            <c:showPercent val="0"/>
            <c:showLeaderLines val="0"/>
          </c:dLbls>
          <c:cat>
            <c:strRef>
              <c:f>categories</c:f>
              <c:strCache>
                <c:ptCount val="4"/>
                <c:pt idx="0">
                  <c:v>I kwartał</c:v>
                </c:pt>
                <c:pt idx="1">
                  <c:v>II kwartał</c:v>
                </c:pt>
                <c:pt idx="2">
                  <c:v>III kwartał</c:v>
                </c:pt>
                <c:pt idx="3">
                  <c:v>IV kwartał</c:v>
                </c:pt>
              </c:strCache>
            </c:strRef>
          </c:cat>
          <c:val>
            <c:numRef>
              <c:f>2</c:f>
              <c:numCache>
                <c:formatCode>General</c:formatCode>
                <c:ptCount val="4"/>
                <c:pt idx="0">
                  <c:v>5.2</c:v>
                </c:pt>
                <c:pt idx="1">
                  <c:v>4.8</c:v>
                </c:pt>
                <c:pt idx="2">
                  <c:v>4.5</c:v>
                </c:pt>
                <c:pt idx="3">
                  <c:v>4.2</c:v>
                </c:pt>
              </c:numCache>
            </c:numRef>
          </c:val>
        </c:ser>
        <c:gapWidth val="219"/>
        <c:overlap val="-27"/>
        <c:axId val="80727445"/>
        <c:axId val="75289959"/>
      </c:barChart>
      <c:catAx>
        <c:axId val="80727445"/>
        <c:scaling>
          <c:orientation val="minMax"/>
        </c:scaling>
        <c:delete val="0"/>
        <c:axPos val="b"/>
        <c:numFmt formatCode="MM/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75289959"/>
        <c:crosses val="autoZero"/>
        <c:auto val="1"/>
        <c:lblAlgn val="ctr"/>
        <c:lblOffset val="100"/>
      </c:catAx>
      <c:valAx>
        <c:axId val="75289959"/>
        <c:scaling>
          <c:orientation val="minMax"/>
        </c:scaling>
        <c:delete val="0"/>
        <c:axPos val="l"/>
        <c:numFmt formatCode="General" sourceLinked="0"/>
        <c:majorTickMark val="none"/>
        <c:minorTickMark val="none"/>
        <c:tickLblPos val="nextTo"/>
        <c:spPr>
          <a:ln w="6480">
            <a:noFill/>
          </a:ln>
        </c:spPr>
        <c:txPr>
          <a:bodyPr/>
          <a:p>
            <a:pPr>
              <a:defRPr b="0" sz="900" spc="-1" strike="noStrike">
                <a:solidFill>
                  <a:srgbClr val="595959"/>
                </a:solidFill>
                <a:latin typeface="Calibri"/>
              </a:defRPr>
            </a:pPr>
          </a:p>
        </c:txPr>
        <c:crossAx val="80727445"/>
        <c:crosses val="autoZero"/>
      </c:valAx>
      <c:spPr>
        <a:noFill/>
        <a:ln>
          <a:noFill/>
        </a:ln>
      </c:spPr>
    </c:plotArea>
    <c:legend>
      <c:layout>
        <c:manualLayout>
          <c:xMode val="edge"/>
          <c:yMode val="edge"/>
          <c:x val="0.3404375"/>
          <c:y val="0.875555555555555"/>
        </c:manualLayout>
      </c:layout>
      <c:spPr>
        <a:noFill/>
        <a:ln>
          <a:noFill/>
        </a:ln>
      </c:spPr>
    </c:legend>
    <c:plotVisOnly val="1"/>
    <c:dispBlanksAs val="gap"/>
  </c:chart>
  <c:spPr>
    <a:solidFill>
      <a:srgbClr val="ffffff"/>
    </a:solidFill>
    <a:ln w="9360">
      <a:solidFill>
        <a:srgbClr val="d9d9d9"/>
      </a:solidFill>
      <a:round/>
    </a:ln>
  </c:spPr>
</c:chartSpace>
</file>

<file path=word/charts/chart3.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48" strike="noStrike">
                <a:solidFill>
                  <a:srgbClr val="808080"/>
                </a:solidFill>
                <a:latin typeface="Calibri"/>
              </a:defRPr>
            </a:pPr>
            <a:r>
              <a:rPr b="1" sz="1800" spc="148" strike="noStrike">
                <a:solidFill>
                  <a:srgbClr val="808080"/>
                </a:solidFill>
                <a:latin typeface="Calibri"/>
              </a:rPr>
              <a:t>Liczba osób wyłączonych z tytułu podjęcia pracy</a:t>
            </a:r>
          </a:p>
        </c:rich>
      </c:tx>
      <c:overlay val="0"/>
    </c:title>
    <c:autoTitleDeleted val="0"/>
    <c:plotArea>
      <c:lineChart>
        <c:varyColors val="0"/>
        <c:grouping val="stacked"/>
        <c:ser>
          <c:idx val="0"/>
          <c:order val="0"/>
          <c:tx>
            <c:strRef>
              <c:f>label 0</c:f>
              <c:strCache>
                <c:ptCount val="1"/>
                <c:pt idx="0">
                  <c:v>2020 r.</c:v>
                </c:pt>
              </c:strCache>
            </c:strRef>
          </c:tx>
          <c:spPr>
            <a:solidFill>
              <a:srgbClr val="4472c4"/>
            </a:solidFill>
            <a:ln w="38160">
              <a:solidFill>
                <a:srgbClr val="4472c4"/>
              </a:solidFill>
              <a:round/>
            </a:ln>
          </c:spPr>
          <c:marker>
            <c:symbol val="none"/>
          </c:marker>
          <c:dLbls>
            <c:dLblPos val="t"/>
            <c:showLegendKey val="0"/>
            <c:showVal val="1"/>
            <c:showCatName val="0"/>
            <c:showSerName val="0"/>
            <c:showPercent val="0"/>
            <c:showLeaderLines val="0"/>
          </c:dLbls>
          <c:cat>
            <c:strRef>
              <c:f>categories</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0</c:f>
              <c:numCache>
                <c:formatCode>General</c:formatCode>
                <c:ptCount val="12"/>
                <c:pt idx="0">
                  <c:v>253</c:v>
                </c:pt>
                <c:pt idx="1">
                  <c:v>306</c:v>
                </c:pt>
                <c:pt idx="2">
                  <c:v>252</c:v>
                </c:pt>
                <c:pt idx="3">
                  <c:v>135</c:v>
                </c:pt>
                <c:pt idx="4">
                  <c:v>165</c:v>
                </c:pt>
                <c:pt idx="5">
                  <c:v>304</c:v>
                </c:pt>
                <c:pt idx="6">
                  <c:v>353</c:v>
                </c:pt>
                <c:pt idx="7">
                  <c:v>296</c:v>
                </c:pt>
                <c:pt idx="8">
                  <c:v>396</c:v>
                </c:pt>
                <c:pt idx="9">
                  <c:v>372</c:v>
                </c:pt>
                <c:pt idx="10">
                  <c:v>292</c:v>
                </c:pt>
                <c:pt idx="11">
                  <c:v>323</c:v>
                </c:pt>
              </c:numCache>
            </c:numRef>
          </c:val>
          <c:smooth val="0"/>
        </c:ser>
        <c:ser>
          <c:idx val="1"/>
          <c:order val="1"/>
          <c:tx>
            <c:strRef>
              <c:f>label 1</c:f>
              <c:strCache>
                <c:ptCount val="1"/>
                <c:pt idx="0">
                  <c:v>2021 r.</c:v>
                </c:pt>
              </c:strCache>
            </c:strRef>
          </c:tx>
          <c:spPr>
            <a:solidFill>
              <a:srgbClr val="ed7d31"/>
            </a:solidFill>
            <a:ln w="38160">
              <a:solidFill>
                <a:srgbClr val="ed7d31"/>
              </a:solidFill>
              <a:round/>
            </a:ln>
          </c:spPr>
          <c:marker>
            <c:symbol val="none"/>
          </c:marker>
          <c:dLbls>
            <c:dLblPos val="t"/>
            <c:showLegendKey val="0"/>
            <c:showVal val="1"/>
            <c:showCatName val="0"/>
            <c:showSerName val="0"/>
            <c:showPercent val="0"/>
            <c:showLeaderLines val="0"/>
          </c:dLbls>
          <c:cat>
            <c:strRef>
              <c:f>categories</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1</c:f>
              <c:numCache>
                <c:formatCode>General</c:formatCode>
                <c:ptCount val="12"/>
                <c:pt idx="0">
                  <c:v>226</c:v>
                </c:pt>
                <c:pt idx="1">
                  <c:v>259</c:v>
                </c:pt>
                <c:pt idx="2">
                  <c:v>250</c:v>
                </c:pt>
                <c:pt idx="3">
                  <c:v>276</c:v>
                </c:pt>
                <c:pt idx="4">
                  <c:v>359</c:v>
                </c:pt>
                <c:pt idx="5">
                  <c:v>320</c:v>
                </c:pt>
                <c:pt idx="6">
                  <c:v>317</c:v>
                </c:pt>
                <c:pt idx="7">
                  <c:v>254</c:v>
                </c:pt>
                <c:pt idx="8">
                  <c:v>390</c:v>
                </c:pt>
                <c:pt idx="9">
                  <c:v>327</c:v>
                </c:pt>
                <c:pt idx="10">
                  <c:v>334</c:v>
                </c:pt>
                <c:pt idx="11">
                  <c:v>352</c:v>
                </c:pt>
              </c:numCache>
            </c:numRef>
          </c:val>
          <c:smooth val="0"/>
        </c:ser>
        <c:hiLowLines>
          <c:spPr>
            <a:ln>
              <a:noFill/>
            </a:ln>
          </c:spPr>
        </c:hiLowLines>
        <c:marker val="0"/>
        <c:axId val="25464537"/>
        <c:axId val="73057728"/>
      </c:lineChart>
      <c:catAx>
        <c:axId val="25464537"/>
        <c:scaling>
          <c:orientation val="minMax"/>
        </c:scaling>
        <c:delete val="0"/>
        <c:axPos val="b"/>
        <c:majorGridlines>
          <c:spPr>
            <a:ln w="9360">
              <a:solidFill>
                <a:srgbClr val="d9d9d9"/>
              </a:solidFill>
              <a:round/>
            </a:ln>
          </c:spPr>
        </c:majorGridlines>
        <c:numFmt formatCode="MM/D/YYYY" sourceLinked="1"/>
        <c:majorTickMark val="none"/>
        <c:minorTickMark val="none"/>
        <c:tickLblPos val="nextTo"/>
        <c:spPr>
          <a:ln w="3240">
            <a:solidFill>
              <a:srgbClr val="d9d9d9"/>
            </a:solidFill>
            <a:round/>
          </a:ln>
        </c:spPr>
        <c:txPr>
          <a:bodyPr/>
          <a:p>
            <a:pPr>
              <a:defRPr b="0" sz="900" spc="-1" strike="noStrike">
                <a:solidFill>
                  <a:srgbClr val="595959"/>
                </a:solidFill>
                <a:latin typeface="Calibri"/>
              </a:defRPr>
            </a:pPr>
          </a:p>
        </c:txPr>
        <c:crossAx val="73057728"/>
        <c:crosses val="autoZero"/>
        <c:auto val="1"/>
        <c:lblAlgn val="ctr"/>
        <c:lblOffset val="100"/>
      </c:catAx>
      <c:valAx>
        <c:axId val="73057728"/>
        <c:scaling>
          <c:orientation val="minMax"/>
        </c:scaling>
        <c:delete val="1"/>
        <c:axPos val="l"/>
        <c:majorGridlines>
          <c:spPr>
            <a:ln w="9360">
              <a:solidFill>
                <a:srgbClr val="d9d9d9"/>
              </a:solidFill>
              <a:round/>
            </a:ln>
          </c:spPr>
        </c:majorGridlines>
        <c:numFmt formatCode="General"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25464537"/>
        <c:crosses val="autoZero"/>
        <c:crossBetween val="midCat"/>
      </c:valAx>
      <c:spPr>
        <a:noFill/>
        <a:ln>
          <a:noFill/>
        </a:ln>
      </c:spPr>
    </c:plotArea>
    <c:legend>
      <c:legendPos val="t"/>
      <c:overlay val="0"/>
      <c:spPr>
        <a:noFill/>
        <a:ln>
          <a:noFill/>
        </a:ln>
      </c:spPr>
    </c:legend>
    <c:plotVisOnly val="1"/>
    <c:dispBlanksAs val="zero"/>
  </c:chart>
  <c:spPr>
    <a:solidFill>
      <a:srgbClr val="ffffff"/>
    </a:solidFill>
    <a:ln w="9360">
      <a:solidFill>
        <a:srgbClr val="d9d9d9"/>
      </a:solidFill>
      <a:round/>
    </a:ln>
  </c:spPr>
</c:chartSpace>
</file>

<file path=word/charts/chart4.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800" spc="148" strike="noStrike">
                <a:solidFill>
                  <a:srgbClr val="808080"/>
                </a:solidFill>
                <a:latin typeface="Calibri"/>
              </a:defRPr>
            </a:pPr>
            <a:r>
              <a:rPr b="1" sz="1800" spc="148" strike="noStrike">
                <a:solidFill>
                  <a:srgbClr val="808080"/>
                </a:solidFill>
                <a:latin typeface="Calibri"/>
              </a:rPr>
              <a:t>Bezrobotni ogółem wg poziomu wykształcenia</a:t>
            </a:r>
          </a:p>
        </c:rich>
      </c:tx>
      <c:overlay val="0"/>
    </c:title>
    <c:autoTitleDeleted val="0"/>
    <c:plotArea>
      <c:barChart>
        <c:barDir val="col"/>
        <c:grouping val="clustered"/>
        <c:varyColors val="0"/>
        <c:ser>
          <c:idx val="0"/>
          <c:order val="0"/>
          <c:tx>
            <c:strRef>
              <c:f>label 0</c:f>
              <c:strCache>
                <c:ptCount val="1"/>
                <c:pt idx="0">
                  <c:v>2020 r.</c:v>
                </c:pt>
              </c:strCache>
            </c:strRef>
          </c:tx>
          <c:spPr>
            <a:ln>
              <a:noFill/>
            </a:ln>
          </c:spPr>
          <c:invertIfNegative val="0"/>
          <c:dLbls>
            <c:dLblPos val="outEnd"/>
            <c:showLegendKey val="0"/>
            <c:showVal val="1"/>
            <c:showCatName val="0"/>
            <c:showSerName val="0"/>
            <c:showPercent val="0"/>
            <c:showLeaderLines val="0"/>
          </c:dLbls>
          <c:cat>
            <c:strRef>
              <c:f>categories</c:f>
              <c:strCache>
                <c:ptCount val="5"/>
                <c:pt idx="0">
                  <c:v>wyższe</c:v>
                </c:pt>
                <c:pt idx="1">
                  <c:v>policealne i średnie zawodowe</c:v>
                </c:pt>
                <c:pt idx="2">
                  <c:v>średnie ogólnokształcące</c:v>
                </c:pt>
                <c:pt idx="3">
                  <c:v>zasadnicze zawodowe</c:v>
                </c:pt>
                <c:pt idx="4">
                  <c:v>gimnazjalne i poniżej</c:v>
                </c:pt>
              </c:strCache>
            </c:strRef>
          </c:cat>
          <c:val>
            <c:numRef>
              <c:f>0</c:f>
              <c:numCache>
                <c:formatCode>General</c:formatCode>
                <c:ptCount val="5"/>
                <c:pt idx="0">
                  <c:v>781</c:v>
                </c:pt>
                <c:pt idx="1">
                  <c:v>1101</c:v>
                </c:pt>
                <c:pt idx="2">
                  <c:v>535</c:v>
                </c:pt>
                <c:pt idx="3">
                  <c:v>1214</c:v>
                </c:pt>
                <c:pt idx="4">
                  <c:v>1259</c:v>
                </c:pt>
              </c:numCache>
            </c:numRef>
          </c:val>
        </c:ser>
        <c:ser>
          <c:idx val="1"/>
          <c:order val="1"/>
          <c:tx>
            <c:strRef>
              <c:f>label 1</c:f>
              <c:strCache>
                <c:ptCount val="1"/>
                <c:pt idx="0">
                  <c:v>2021 r.</c:v>
                </c:pt>
              </c:strCache>
            </c:strRef>
          </c:tx>
          <c:spPr>
            <a:ln>
              <a:noFill/>
            </a:ln>
          </c:spPr>
          <c:invertIfNegative val="0"/>
          <c:dLbls>
            <c:dLblPos val="outEnd"/>
            <c:showLegendKey val="0"/>
            <c:showVal val="1"/>
            <c:showCatName val="0"/>
            <c:showSerName val="0"/>
            <c:showPercent val="0"/>
            <c:showLeaderLines val="0"/>
          </c:dLbls>
          <c:cat>
            <c:strRef>
              <c:f>categories</c:f>
              <c:strCache>
                <c:ptCount val="5"/>
                <c:pt idx="0">
                  <c:v>wyższe</c:v>
                </c:pt>
                <c:pt idx="1">
                  <c:v>policealne i średnie zawodowe</c:v>
                </c:pt>
                <c:pt idx="2">
                  <c:v>średnie ogólnokształcące</c:v>
                </c:pt>
                <c:pt idx="3">
                  <c:v>zasadnicze zawodowe</c:v>
                </c:pt>
                <c:pt idx="4">
                  <c:v>gimnazjalne i poniżej</c:v>
                </c:pt>
              </c:strCache>
            </c:strRef>
          </c:cat>
          <c:val>
            <c:numRef>
              <c:f>1</c:f>
              <c:numCache>
                <c:formatCode>General</c:formatCode>
                <c:ptCount val="5"/>
                <c:pt idx="0">
                  <c:v>650</c:v>
                </c:pt>
                <c:pt idx="1">
                  <c:v>957</c:v>
                </c:pt>
                <c:pt idx="2">
                  <c:v>478</c:v>
                </c:pt>
                <c:pt idx="3">
                  <c:v>1079</c:v>
                </c:pt>
                <c:pt idx="4">
                  <c:v>1143</c:v>
                </c:pt>
              </c:numCache>
            </c:numRef>
          </c:val>
        </c:ser>
        <c:gapWidth val="164"/>
        <c:overlap val="-22"/>
        <c:axId val="60005134"/>
        <c:axId val="4271207"/>
      </c:barChart>
      <c:catAx>
        <c:axId val="60005134"/>
        <c:scaling>
          <c:orientation val="minMax"/>
        </c:scaling>
        <c:delete val="0"/>
        <c:axPos val="b"/>
        <c:numFmt formatCode="MM/D/YYYY" sourceLinked="1"/>
        <c:majorTickMark val="none"/>
        <c:minorTickMark val="none"/>
        <c:tickLblPos val="nextTo"/>
        <c:spPr>
          <a:ln w="19080">
            <a:solidFill>
              <a:srgbClr val="bfbfbf"/>
            </a:solidFill>
            <a:round/>
          </a:ln>
        </c:spPr>
        <c:txPr>
          <a:bodyPr/>
          <a:p>
            <a:pPr>
              <a:defRPr b="0" sz="900" spc="-1" strike="noStrike">
                <a:solidFill>
                  <a:srgbClr val="595959"/>
                </a:solidFill>
                <a:latin typeface="Calibri"/>
              </a:defRPr>
            </a:pPr>
          </a:p>
        </c:txPr>
        <c:crossAx val="4271207"/>
        <c:crosses val="autoZero"/>
        <c:auto val="1"/>
        <c:lblAlgn val="ctr"/>
        <c:lblOffset val="100"/>
      </c:catAx>
      <c:valAx>
        <c:axId val="4271207"/>
        <c:scaling>
          <c:orientation val="minMax"/>
        </c:scaling>
        <c:delete val="1"/>
        <c:axPos val="l"/>
        <c:numFmt formatCode="General"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60005134"/>
        <c:crosses val="autoZero"/>
      </c:valAx>
      <c:spPr>
        <a:noFill/>
        <a:ln>
          <a:noFill/>
        </a:ln>
      </c:spPr>
    </c:plotArea>
    <c:legend>
      <c:legendPos val="t"/>
      <c:overlay val="0"/>
      <c:spPr>
        <a:noFill/>
        <a:ln>
          <a:noFill/>
        </a:ln>
      </c:spPr>
    </c:legend>
    <c:plotVisOnly val="1"/>
    <c:dispBlanksAs val="gap"/>
  </c:chart>
  <c:spPr>
    <a:solidFill>
      <a:srgbClr val="ffffff"/>
    </a:solidFill>
    <a:ln w="9360">
      <a:solidFill>
        <a:srgbClr val="d9d9d9"/>
      </a:solidFill>
      <a:round/>
    </a:ln>
  </c:spPr>
</c:chartSpace>
</file>

<file path=word/charts/chart5.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595959"/>
                </a:solidFill>
                <a:latin typeface="Calibri Light"/>
              </a:defRPr>
            </a:pPr>
            <a:r>
              <a:rPr b="1" sz="1200" spc="-1" strike="noStrike">
                <a:solidFill>
                  <a:srgbClr val="595959"/>
                </a:solidFill>
                <a:latin typeface="Calibri Light"/>
              </a:rPr>
              <a:t>Struktura bezrobotnych ogółem wg wykształcenia %</a:t>
            </a:r>
          </a:p>
        </c:rich>
      </c:tx>
      <c:overlay val="0"/>
    </c:title>
    <c:autoTitleDeleted val="0"/>
    <c:plotArea>
      <c:barChart>
        <c:barDir val="col"/>
        <c:grouping val="clustered"/>
        <c:varyColors val="0"/>
        <c:ser>
          <c:idx val="0"/>
          <c:order val="0"/>
          <c:tx>
            <c:strRef>
              <c:f>label 0</c:f>
              <c:strCache>
                <c:ptCount val="1"/>
                <c:pt idx="0">
                  <c:v>2020 r.</c:v>
                </c:pt>
              </c:strCache>
            </c:strRef>
          </c:tx>
          <c:spPr>
            <a:solidFill>
              <a:srgbClr val="4472c4"/>
            </a:solidFill>
            <a:ln>
              <a:noFill/>
            </a:ln>
          </c:spPr>
          <c:invertIfNegative val="0"/>
          <c:dLbls>
            <c:dLblPos val="outEnd"/>
            <c:showLegendKey val="0"/>
            <c:showVal val="1"/>
            <c:showCatName val="0"/>
            <c:showSerName val="0"/>
            <c:showPercent val="0"/>
            <c:showLeaderLines val="0"/>
          </c:dLbls>
          <c:cat>
            <c:strRef>
              <c:f>categories</c:f>
              <c:strCache>
                <c:ptCount val="5"/>
                <c:pt idx="0">
                  <c:v>wyższe</c:v>
                </c:pt>
                <c:pt idx="1">
                  <c:v>policealne i średnie zawodowe</c:v>
                </c:pt>
                <c:pt idx="2">
                  <c:v>średnie ogólnokształcące</c:v>
                </c:pt>
                <c:pt idx="3">
                  <c:v>zasadnicze zawodowe</c:v>
                </c:pt>
                <c:pt idx="4">
                  <c:v>gimnazjalne i poniżej</c:v>
                </c:pt>
              </c:strCache>
            </c:strRef>
          </c:cat>
          <c:val>
            <c:numRef>
              <c:f>0</c:f>
              <c:numCache>
                <c:formatCode>General</c:formatCode>
                <c:ptCount val="5"/>
                <c:pt idx="0">
                  <c:v>0.16</c:v>
                </c:pt>
                <c:pt idx="1">
                  <c:v>0.225</c:v>
                </c:pt>
                <c:pt idx="2">
                  <c:v>0.109</c:v>
                </c:pt>
                <c:pt idx="3">
                  <c:v>0.248</c:v>
                </c:pt>
                <c:pt idx="4">
                  <c:v>0.258</c:v>
                </c:pt>
              </c:numCache>
            </c:numRef>
          </c:val>
        </c:ser>
        <c:ser>
          <c:idx val="1"/>
          <c:order val="1"/>
          <c:tx>
            <c:strRef>
              <c:f>label 1</c:f>
              <c:strCache>
                <c:ptCount val="1"/>
                <c:pt idx="0">
                  <c:v>2021 r.</c:v>
                </c:pt>
              </c:strCache>
            </c:strRef>
          </c:tx>
          <c:spPr>
            <a:solidFill>
              <a:srgbClr val="00b050"/>
            </a:solidFill>
            <a:ln>
              <a:noFill/>
            </a:ln>
          </c:spPr>
          <c:invertIfNegative val="0"/>
          <c:dLbls>
            <c:dLbl>
              <c:idx val="1"/>
              <c:dLblPos val="outEnd"/>
              <c:showLegendKey val="0"/>
              <c:showVal val="1"/>
              <c:showCatName val="0"/>
              <c:showSerName val="0"/>
              <c:showPercent val="0"/>
            </c:dLbl>
            <c:dLbl>
              <c:idx val="2"/>
              <c:dLblPos val="outEnd"/>
              <c:showLegendKey val="0"/>
              <c:showVal val="1"/>
              <c:showCatName val="0"/>
              <c:showSerName val="0"/>
              <c:showPercent val="0"/>
            </c:dLbl>
            <c:dLbl>
              <c:idx val="3"/>
              <c:dLblPos val="outEnd"/>
              <c:showLegendKey val="0"/>
              <c:showVal val="1"/>
              <c:showCatName val="0"/>
              <c:showSerName val="0"/>
              <c:showPercent val="0"/>
            </c:dLbl>
            <c:dLbl>
              <c:idx val="4"/>
              <c:dLblPos val="outEnd"/>
              <c:showLegendKey val="0"/>
              <c:showVal val="1"/>
              <c:showCatName val="0"/>
              <c:showSerName val="0"/>
              <c:showPercent val="0"/>
            </c:dLbl>
            <c:dLblPos val="outEnd"/>
            <c:showLegendKey val="0"/>
            <c:showVal val="1"/>
            <c:showCatName val="0"/>
            <c:showSerName val="0"/>
            <c:showPercent val="0"/>
            <c:showLeaderLines val="0"/>
          </c:dLbls>
          <c:cat>
            <c:strRef>
              <c:f>categories</c:f>
              <c:strCache>
                <c:ptCount val="5"/>
                <c:pt idx="0">
                  <c:v>wyższe</c:v>
                </c:pt>
                <c:pt idx="1">
                  <c:v>policealne i średnie zawodowe</c:v>
                </c:pt>
                <c:pt idx="2">
                  <c:v>średnie ogólnokształcące</c:v>
                </c:pt>
                <c:pt idx="3">
                  <c:v>zasadnicze zawodowe</c:v>
                </c:pt>
                <c:pt idx="4">
                  <c:v>gimnazjalne i poniżej</c:v>
                </c:pt>
              </c:strCache>
            </c:strRef>
          </c:cat>
          <c:val>
            <c:numRef>
              <c:f>1</c:f>
              <c:numCache>
                <c:formatCode>General</c:formatCode>
                <c:ptCount val="5"/>
                <c:pt idx="0">
                  <c:v>0.15</c:v>
                </c:pt>
                <c:pt idx="1">
                  <c:v>0.222</c:v>
                </c:pt>
                <c:pt idx="2">
                  <c:v>0.113</c:v>
                </c:pt>
                <c:pt idx="3">
                  <c:v>0.25</c:v>
                </c:pt>
                <c:pt idx="4">
                  <c:v>0.265</c:v>
                </c:pt>
              </c:numCache>
            </c:numRef>
          </c:val>
        </c:ser>
        <c:gapWidth val="199"/>
        <c:overlap val="0"/>
        <c:axId val="70927431"/>
        <c:axId val="92511204"/>
      </c:barChart>
      <c:catAx>
        <c:axId val="70927431"/>
        <c:scaling>
          <c:orientation val="minMax"/>
        </c:scaling>
        <c:delete val="0"/>
        <c:axPos val="b"/>
        <c:numFmt formatCode="MM/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92511204"/>
        <c:crosses val="autoZero"/>
        <c:auto val="1"/>
        <c:lblAlgn val="ctr"/>
        <c:lblOffset val="100"/>
      </c:catAx>
      <c:valAx>
        <c:axId val="92511204"/>
        <c:scaling>
          <c:orientation val="minMax"/>
        </c:scaling>
        <c:delete val="0"/>
        <c:axPos val="l"/>
        <c:numFmt formatCode="0%" sourceLinked="0"/>
        <c:majorTickMark val="none"/>
        <c:minorTickMark val="none"/>
        <c:tickLblPos val="nextTo"/>
        <c:spPr>
          <a:ln w="6480">
            <a:noFill/>
          </a:ln>
        </c:spPr>
        <c:txPr>
          <a:bodyPr/>
          <a:p>
            <a:pPr>
              <a:defRPr b="0" sz="900" spc="-1" strike="noStrike">
                <a:solidFill>
                  <a:srgbClr val="595959"/>
                </a:solidFill>
                <a:latin typeface="Calibri"/>
              </a:defRPr>
            </a:pPr>
          </a:p>
        </c:txPr>
        <c:crossAx val="70927431"/>
        <c:crosses val="autoZero"/>
      </c:valAx>
      <c:spPr>
        <a:noFill/>
        <a:ln>
          <a:noFill/>
        </a:ln>
      </c:spPr>
    </c:plotArea>
    <c:legend>
      <c:legendPos val="t"/>
      <c:overlay val="0"/>
      <c:spPr>
        <a:noFill/>
        <a:ln>
          <a:noFill/>
        </a:ln>
      </c:spPr>
    </c:legend>
    <c:plotVisOnly val="1"/>
    <c:dispBlanksAs val="gap"/>
  </c:chart>
  <c:spPr>
    <a:solidFill>
      <a:srgbClr val="ffffff"/>
    </a:solidFill>
    <a:ln w="9360">
      <a:solidFill>
        <a:srgbClr val="d9d9d9"/>
      </a:solidFill>
      <a:round/>
    </a:ln>
  </c:spPr>
</c:chartSpace>
</file>

<file path=word/charts/chart6.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595959"/>
                </a:solidFill>
                <a:latin typeface="Calibri"/>
              </a:defRPr>
            </a:pPr>
            <a:r>
              <a:rPr b="1" sz="1200" spc="-1" strike="noStrike">
                <a:solidFill>
                  <a:srgbClr val="595959"/>
                </a:solidFill>
                <a:latin typeface="Calibri"/>
              </a:rPr>
              <a:t>Struktura bezrobotnych wg wykształcenia i płci - stan na 31.12.2021 r.</a:t>
            </a:r>
          </a:p>
        </c:rich>
      </c:tx>
      <c:overlay val="0"/>
    </c:title>
    <c:autoTitleDeleted val="0"/>
    <c:plotArea>
      <c:barChart>
        <c:barDir val="bar"/>
        <c:grouping val="stacked"/>
        <c:varyColors val="0"/>
        <c:ser>
          <c:idx val="0"/>
          <c:order val="0"/>
          <c:tx>
            <c:strRef>
              <c:f>label 0</c:f>
              <c:strCache>
                <c:ptCount val="1"/>
                <c:pt idx="0">
                  <c:v>wyższe</c:v>
                </c:pt>
              </c:strCache>
            </c:strRef>
          </c:tx>
          <c:spPr>
            <a:solidFill>
              <a:srgbClr val="4472c4"/>
            </a:solidFill>
            <a:ln>
              <a:noFill/>
            </a:ln>
          </c:spPr>
          <c:invertIfNegative val="0"/>
          <c:dLbls>
            <c:dLblPos val="ctr"/>
            <c:showLegendKey val="0"/>
            <c:showVal val="1"/>
            <c:showCatName val="0"/>
            <c:showSerName val="0"/>
            <c:showPercent val="0"/>
            <c:showLeaderLines val="0"/>
          </c:dLbls>
          <c:cat>
            <c:strRef>
              <c:f>categories</c:f>
              <c:strCache>
                <c:ptCount val="2"/>
                <c:pt idx="0">
                  <c:v>kobiety</c:v>
                </c:pt>
                <c:pt idx="1">
                  <c:v>mężczyźni</c:v>
                </c:pt>
              </c:strCache>
            </c:strRef>
          </c:cat>
          <c:val>
            <c:numRef>
              <c:f>0</c:f>
              <c:numCache>
                <c:formatCode>General</c:formatCode>
                <c:ptCount val="2"/>
                <c:pt idx="0">
                  <c:v>414</c:v>
                </c:pt>
                <c:pt idx="1">
                  <c:v>236</c:v>
                </c:pt>
              </c:numCache>
            </c:numRef>
          </c:val>
        </c:ser>
        <c:ser>
          <c:idx val="1"/>
          <c:order val="1"/>
          <c:tx>
            <c:strRef>
              <c:f>label 1</c:f>
              <c:strCache>
                <c:ptCount val="1"/>
                <c:pt idx="0">
                  <c:v>policealne i średnie zawodowe</c:v>
                </c:pt>
              </c:strCache>
            </c:strRef>
          </c:tx>
          <c:spPr>
            <a:solidFill>
              <a:srgbClr val="ed7d31"/>
            </a:solidFill>
            <a:ln>
              <a:noFill/>
            </a:ln>
          </c:spPr>
          <c:invertIfNegative val="0"/>
          <c:dLbls>
            <c:dLblPos val="ctr"/>
            <c:showLegendKey val="0"/>
            <c:showVal val="1"/>
            <c:showCatName val="0"/>
            <c:showSerName val="0"/>
            <c:showPercent val="0"/>
            <c:showLeaderLines val="0"/>
          </c:dLbls>
          <c:cat>
            <c:strRef>
              <c:f>categories</c:f>
              <c:strCache>
                <c:ptCount val="2"/>
                <c:pt idx="0">
                  <c:v>kobiety</c:v>
                </c:pt>
                <c:pt idx="1">
                  <c:v>mężczyźni</c:v>
                </c:pt>
              </c:strCache>
            </c:strRef>
          </c:cat>
          <c:val>
            <c:numRef>
              <c:f>1</c:f>
              <c:numCache>
                <c:formatCode>General</c:formatCode>
                <c:ptCount val="2"/>
                <c:pt idx="0">
                  <c:v>504</c:v>
                </c:pt>
                <c:pt idx="1">
                  <c:v>453</c:v>
                </c:pt>
              </c:numCache>
            </c:numRef>
          </c:val>
        </c:ser>
        <c:ser>
          <c:idx val="2"/>
          <c:order val="2"/>
          <c:tx>
            <c:strRef>
              <c:f>label 2</c:f>
              <c:strCache>
                <c:ptCount val="1"/>
                <c:pt idx="0">
                  <c:v>średnie ogólnokształcące</c:v>
                </c:pt>
              </c:strCache>
            </c:strRef>
          </c:tx>
          <c:spPr>
            <a:solidFill>
              <a:srgbClr val="a5a5a5"/>
            </a:solidFill>
            <a:ln>
              <a:noFill/>
            </a:ln>
          </c:spPr>
          <c:invertIfNegative val="0"/>
          <c:dLbls>
            <c:dLblPos val="ctr"/>
            <c:showLegendKey val="0"/>
            <c:showVal val="1"/>
            <c:showCatName val="0"/>
            <c:showSerName val="0"/>
            <c:showPercent val="0"/>
            <c:showLeaderLines val="0"/>
          </c:dLbls>
          <c:cat>
            <c:strRef>
              <c:f>categories</c:f>
              <c:strCache>
                <c:ptCount val="2"/>
                <c:pt idx="0">
                  <c:v>kobiety</c:v>
                </c:pt>
                <c:pt idx="1">
                  <c:v>mężczyźni</c:v>
                </c:pt>
              </c:strCache>
            </c:strRef>
          </c:cat>
          <c:val>
            <c:numRef>
              <c:f>2</c:f>
              <c:numCache>
                <c:formatCode>General</c:formatCode>
                <c:ptCount val="2"/>
                <c:pt idx="0">
                  <c:v>310</c:v>
                </c:pt>
                <c:pt idx="1">
                  <c:v>168</c:v>
                </c:pt>
              </c:numCache>
            </c:numRef>
          </c:val>
        </c:ser>
        <c:ser>
          <c:idx val="3"/>
          <c:order val="3"/>
          <c:tx>
            <c:strRef>
              <c:f>label 3</c:f>
              <c:strCache>
                <c:ptCount val="1"/>
                <c:pt idx="0">
                  <c:v>zasadnicze zawodowe</c:v>
                </c:pt>
              </c:strCache>
            </c:strRef>
          </c:tx>
          <c:spPr>
            <a:solidFill>
              <a:srgbClr val="ffc000"/>
            </a:solidFill>
            <a:ln>
              <a:noFill/>
            </a:ln>
          </c:spPr>
          <c:invertIfNegative val="0"/>
          <c:dLbls>
            <c:dLblPos val="ctr"/>
            <c:showLegendKey val="0"/>
            <c:showVal val="1"/>
            <c:showCatName val="0"/>
            <c:showSerName val="0"/>
            <c:showPercent val="0"/>
            <c:showLeaderLines val="0"/>
          </c:dLbls>
          <c:cat>
            <c:strRef>
              <c:f>categories</c:f>
              <c:strCache>
                <c:ptCount val="2"/>
                <c:pt idx="0">
                  <c:v>kobiety</c:v>
                </c:pt>
                <c:pt idx="1">
                  <c:v>mężczyźni</c:v>
                </c:pt>
              </c:strCache>
            </c:strRef>
          </c:cat>
          <c:val>
            <c:numRef>
              <c:f>3</c:f>
              <c:numCache>
                <c:formatCode>General</c:formatCode>
                <c:ptCount val="2"/>
                <c:pt idx="0">
                  <c:v>371</c:v>
                </c:pt>
                <c:pt idx="1">
                  <c:v>708</c:v>
                </c:pt>
              </c:numCache>
            </c:numRef>
          </c:val>
        </c:ser>
        <c:ser>
          <c:idx val="4"/>
          <c:order val="4"/>
          <c:tx>
            <c:strRef>
              <c:f>label 4</c:f>
              <c:strCache>
                <c:ptCount val="1"/>
                <c:pt idx="0">
                  <c:v>gimnazjalne i poniżej</c:v>
                </c:pt>
              </c:strCache>
            </c:strRef>
          </c:tx>
          <c:spPr>
            <a:solidFill>
              <a:srgbClr val="5b9bd5"/>
            </a:solidFill>
            <a:ln>
              <a:noFill/>
            </a:ln>
          </c:spPr>
          <c:invertIfNegative val="0"/>
          <c:dLbls>
            <c:dLblPos val="ctr"/>
            <c:showLegendKey val="0"/>
            <c:showVal val="1"/>
            <c:showCatName val="0"/>
            <c:showSerName val="0"/>
            <c:showPercent val="0"/>
            <c:showLeaderLines val="0"/>
          </c:dLbls>
          <c:cat>
            <c:strRef>
              <c:f>categories</c:f>
              <c:strCache>
                <c:ptCount val="2"/>
                <c:pt idx="0">
                  <c:v>kobiety</c:v>
                </c:pt>
                <c:pt idx="1">
                  <c:v>mężczyźni</c:v>
                </c:pt>
              </c:strCache>
            </c:strRef>
          </c:cat>
          <c:val>
            <c:numRef>
              <c:f>4</c:f>
              <c:numCache>
                <c:formatCode>General</c:formatCode>
                <c:ptCount val="2"/>
                <c:pt idx="0">
                  <c:v>550</c:v>
                </c:pt>
                <c:pt idx="1">
                  <c:v>593</c:v>
                </c:pt>
              </c:numCache>
            </c:numRef>
          </c:val>
        </c:ser>
        <c:gapWidth val="150"/>
        <c:overlap val="100"/>
        <c:axId val="80384238"/>
        <c:axId val="47894150"/>
      </c:barChart>
      <c:catAx>
        <c:axId val="80384238"/>
        <c:scaling>
          <c:orientation val="minMax"/>
        </c:scaling>
        <c:delete val="0"/>
        <c:axPos val="b"/>
        <c:numFmt formatCode="MM/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47894150"/>
        <c:crosses val="autoZero"/>
        <c:auto val="1"/>
        <c:lblAlgn val="ctr"/>
        <c:lblOffset val="100"/>
      </c:catAx>
      <c:valAx>
        <c:axId val="47894150"/>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b="0" sz="900" spc="-1" strike="noStrike">
                <a:solidFill>
                  <a:srgbClr val="595959"/>
                </a:solidFill>
                <a:latin typeface="Calibri"/>
              </a:defRPr>
            </a:pPr>
          </a:p>
        </c:txPr>
        <c:crossAx val="80384238"/>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600" spc="-1" strike="noStrike">
                <a:solidFill>
                  <a:srgbClr val="595959"/>
                </a:solidFill>
                <a:latin typeface="Calibri"/>
              </a:defRPr>
            </a:pPr>
            <a:r>
              <a:rPr b="1" sz="1600" spc="-1" strike="noStrike">
                <a:solidFill>
                  <a:srgbClr val="595959"/>
                </a:solidFill>
                <a:latin typeface="Calibri"/>
              </a:rPr>
              <a:t>Struktura bezrobotnych wg wieku, pozostających bez pracy powyżej 12 miesięcy</a:t>
            </a:r>
          </a:p>
        </c:rich>
      </c:tx>
      <c:overlay val="0"/>
    </c:title>
    <c:autoTitleDeleted val="0"/>
    <c:plotArea>
      <c:barChart>
        <c:barDir val="col"/>
        <c:grouping val="clustered"/>
        <c:varyColors val="0"/>
        <c:ser>
          <c:idx val="0"/>
          <c:order val="0"/>
          <c:tx>
            <c:strRef>
              <c:f>label 0</c:f>
              <c:strCache>
                <c:ptCount val="1"/>
                <c:pt idx="0">
                  <c:v/>
                </c:pt>
              </c:strCache>
            </c:strRef>
          </c:tx>
          <c:spPr>
            <a:ln>
              <a:noFill/>
            </a:ln>
          </c:spPr>
          <c:invertIfNegative val="0"/>
          <c:dLbls>
            <c:dLblPos val="outEnd"/>
            <c:showLegendKey val="0"/>
            <c:showVal val="1"/>
            <c:showCatName val="0"/>
            <c:showSerName val="0"/>
            <c:showPercent val="0"/>
            <c:showLeaderLines val="0"/>
          </c:dLbls>
          <c:cat>
            <c:strRef>
              <c:f>categories</c:f>
              <c:strCache>
                <c:ptCount val="6"/>
                <c:pt idx="0">
                  <c:v>18 - 24</c:v>
                </c:pt>
                <c:pt idx="1">
                  <c:v>25 - 34</c:v>
                </c:pt>
                <c:pt idx="2">
                  <c:v>35 - 44</c:v>
                </c:pt>
                <c:pt idx="3">
                  <c:v>45 - 54</c:v>
                </c:pt>
                <c:pt idx="4">
                  <c:v>55 - 59</c:v>
                </c:pt>
                <c:pt idx="5">
                  <c:v>60 i powyżej</c:v>
                </c:pt>
              </c:strCache>
            </c:strRef>
          </c:cat>
          <c:val>
            <c:numRef>
              <c:f>0</c:f>
              <c:numCache>
                <c:formatCode>General</c:formatCode>
                <c:ptCount val="6"/>
                <c:pt idx="0">
                  <c:v>53</c:v>
                </c:pt>
                <c:pt idx="1">
                  <c:v>349</c:v>
                </c:pt>
                <c:pt idx="2">
                  <c:v>640</c:v>
                </c:pt>
                <c:pt idx="3">
                  <c:v>532</c:v>
                </c:pt>
                <c:pt idx="4">
                  <c:v>300</c:v>
                </c:pt>
                <c:pt idx="5">
                  <c:v>211</c:v>
                </c:pt>
              </c:numCache>
            </c:numRef>
          </c:val>
        </c:ser>
        <c:gapWidth val="100"/>
        <c:overlap val="-24"/>
        <c:axId val="62714662"/>
        <c:axId val="41634078"/>
      </c:barChart>
      <c:catAx>
        <c:axId val="62714662"/>
        <c:scaling>
          <c:orientation val="minMax"/>
        </c:scaling>
        <c:delete val="0"/>
        <c:axPos val="b"/>
        <c:numFmt formatCode="MM/D/YYYY" sourceLinked="1"/>
        <c:majorTickMark val="none"/>
        <c:minorTickMark val="none"/>
        <c:tickLblPos val="nextTo"/>
        <c:spPr>
          <a:ln w="12600">
            <a:solidFill>
              <a:srgbClr val="d9d9d9"/>
            </a:solidFill>
            <a:round/>
          </a:ln>
        </c:spPr>
        <c:txPr>
          <a:bodyPr/>
          <a:p>
            <a:pPr>
              <a:defRPr b="0" sz="900" spc="-1" strike="noStrike">
                <a:solidFill>
                  <a:srgbClr val="595959"/>
                </a:solidFill>
                <a:latin typeface="Calibri"/>
              </a:defRPr>
            </a:pPr>
          </a:p>
        </c:txPr>
        <c:crossAx val="41634078"/>
        <c:crosses val="autoZero"/>
        <c:auto val="1"/>
        <c:lblAlgn val="ctr"/>
        <c:lblOffset val="100"/>
      </c:catAx>
      <c:valAx>
        <c:axId val="41634078"/>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b="0" sz="900" spc="-1" strike="noStrike">
                <a:solidFill>
                  <a:srgbClr val="595959"/>
                </a:solidFill>
                <a:latin typeface="Calibri"/>
              </a:defRPr>
            </a:pPr>
          </a:p>
        </c:txPr>
        <c:crossAx val="62714662"/>
        <c:crosses val="autoZero"/>
      </c:valAx>
      <c:spPr>
        <a:noFill/>
        <a:ln>
          <a:noFill/>
        </a:ln>
      </c:spPr>
    </c:plotArea>
    <c:plotVisOnly val="1"/>
    <c:dispBlanksAs val="gap"/>
  </c:chart>
  <c:spPr>
    <a:solidFill>
      <a:srgbClr val="ffffff"/>
    </a:solidFill>
    <a:ln w="9360">
      <a:solidFill>
        <a:srgbClr val="d9d9d9"/>
      </a:solidFill>
      <a:round/>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595959"/>
                </a:solidFill>
                <a:latin typeface="Calibri"/>
              </a:defRPr>
            </a:pPr>
            <a:r>
              <a:rPr b="1" sz="1200" spc="-1" strike="noStrike">
                <a:solidFill>
                  <a:srgbClr val="595959"/>
                </a:solidFill>
                <a:latin typeface="Calibri"/>
              </a:rPr>
              <a:t>Struktura bezrobotnych wg wykształcenia i czasu pozostawania bez pracy (pow. 12 miesięcy)</a:t>
            </a:r>
          </a:p>
        </c:rich>
      </c:tx>
      <c:overlay val="0"/>
    </c:title>
    <c:autoTitleDeleted val="0"/>
    <c:plotArea>
      <c:barChart>
        <c:barDir val="bar"/>
        <c:grouping val="clustered"/>
        <c:varyColors val="0"/>
        <c:ser>
          <c:idx val="0"/>
          <c:order val="0"/>
          <c:tx>
            <c:strRef>
              <c:f>label 0</c:f>
              <c:strCache>
                <c:ptCount val="1"/>
                <c:pt idx="0">
                  <c:v>2020 r.</c:v>
                </c:pt>
              </c:strCache>
            </c:strRef>
          </c:tx>
          <c:spPr>
            <a:solidFill>
              <a:srgbClr val="4472c4"/>
            </a:solidFill>
            <a:ln>
              <a:noFill/>
            </a:ln>
          </c:spPr>
          <c:invertIfNegative val="0"/>
          <c:dLbls>
            <c:dLblPos val="outEnd"/>
            <c:showLegendKey val="0"/>
            <c:showVal val="1"/>
            <c:showCatName val="0"/>
            <c:showSerName val="0"/>
            <c:showPercent val="0"/>
            <c:showLeaderLines val="0"/>
          </c:dLbls>
          <c:cat>
            <c:strRef>
              <c:f>categories</c:f>
              <c:strCache>
                <c:ptCount val="5"/>
                <c:pt idx="0">
                  <c:v>wyższe</c:v>
                </c:pt>
                <c:pt idx="1">
                  <c:v>policealne i średnie zawodowe</c:v>
                </c:pt>
                <c:pt idx="2">
                  <c:v>średnie ogólnokształcące</c:v>
                </c:pt>
                <c:pt idx="3">
                  <c:v>zasadnicze zawodowe</c:v>
                </c:pt>
                <c:pt idx="4">
                  <c:v>gimnazjalne i poniżej</c:v>
                </c:pt>
              </c:strCache>
            </c:strRef>
          </c:cat>
          <c:val>
            <c:numRef>
              <c:f>0</c:f>
              <c:numCache>
                <c:formatCode>General</c:formatCode>
                <c:ptCount val="5"/>
                <c:pt idx="0">
                  <c:v>277</c:v>
                </c:pt>
                <c:pt idx="1">
                  <c:v>372</c:v>
                </c:pt>
                <c:pt idx="2">
                  <c:v>159</c:v>
                </c:pt>
                <c:pt idx="3">
                  <c:v>458</c:v>
                </c:pt>
                <c:pt idx="4">
                  <c:v>387</c:v>
                </c:pt>
              </c:numCache>
            </c:numRef>
          </c:val>
        </c:ser>
        <c:ser>
          <c:idx val="1"/>
          <c:order val="1"/>
          <c:tx>
            <c:strRef>
              <c:f>label 1</c:f>
              <c:strCache>
                <c:ptCount val="1"/>
                <c:pt idx="0">
                  <c:v>2021 r.</c:v>
                </c:pt>
              </c:strCache>
            </c:strRef>
          </c:tx>
          <c:spPr>
            <a:solidFill>
              <a:srgbClr val="00b050"/>
            </a:solidFill>
            <a:ln>
              <a:noFill/>
            </a:ln>
          </c:spPr>
          <c:invertIfNegative val="0"/>
          <c:dLbls>
            <c:dLblPos val="outEnd"/>
            <c:showLegendKey val="0"/>
            <c:showVal val="1"/>
            <c:showCatName val="0"/>
            <c:showSerName val="0"/>
            <c:showPercent val="0"/>
            <c:showLeaderLines val="0"/>
          </c:dLbls>
          <c:cat>
            <c:strRef>
              <c:f>categories</c:f>
              <c:strCache>
                <c:ptCount val="5"/>
                <c:pt idx="0">
                  <c:v>wyższe</c:v>
                </c:pt>
                <c:pt idx="1">
                  <c:v>policealne i średnie zawodowe</c:v>
                </c:pt>
                <c:pt idx="2">
                  <c:v>średnie ogólnokształcące</c:v>
                </c:pt>
                <c:pt idx="3">
                  <c:v>zasadnicze zawodowe</c:v>
                </c:pt>
                <c:pt idx="4">
                  <c:v>gimnazjalne i poniżej</c:v>
                </c:pt>
              </c:strCache>
            </c:strRef>
          </c:cat>
          <c:val>
            <c:numRef>
              <c:f>1</c:f>
              <c:numCache>
                <c:formatCode>General</c:formatCode>
                <c:ptCount val="5"/>
                <c:pt idx="0">
                  <c:v>309</c:v>
                </c:pt>
                <c:pt idx="1">
                  <c:v>437</c:v>
                </c:pt>
                <c:pt idx="2">
                  <c:v>206</c:v>
                </c:pt>
                <c:pt idx="3">
                  <c:v>571</c:v>
                </c:pt>
                <c:pt idx="4">
                  <c:v>562</c:v>
                </c:pt>
              </c:numCache>
            </c:numRef>
          </c:val>
        </c:ser>
        <c:gapWidth val="182"/>
        <c:overlap val="0"/>
        <c:axId val="61384818"/>
        <c:axId val="75121299"/>
      </c:barChart>
      <c:catAx>
        <c:axId val="61384818"/>
        <c:scaling>
          <c:orientation val="minMax"/>
        </c:scaling>
        <c:delete val="0"/>
        <c:axPos val="b"/>
        <c:numFmt formatCode="MM/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75121299"/>
        <c:crosses val="autoZero"/>
        <c:auto val="1"/>
        <c:lblAlgn val="ctr"/>
        <c:lblOffset val="100"/>
      </c:catAx>
      <c:valAx>
        <c:axId val="75121299"/>
        <c:scaling>
          <c:orientation val="minMax"/>
        </c:scaling>
        <c:delete val="1"/>
        <c:axPos val="l"/>
        <c:majorGridlines>
          <c:spPr>
            <a:ln w="9360">
              <a:solidFill>
                <a:srgbClr val="d9d9d9"/>
              </a:solidFill>
              <a:round/>
            </a:ln>
          </c:spPr>
        </c:majorGridlines>
        <c:numFmt formatCode="General"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61384818"/>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200" spc="-1" strike="noStrike">
                <a:solidFill>
                  <a:srgbClr val="595959"/>
                </a:solidFill>
                <a:latin typeface="Calibri"/>
              </a:defRPr>
            </a:pPr>
            <a:r>
              <a:rPr b="1" sz="1200" spc="-1" strike="noStrike">
                <a:solidFill>
                  <a:srgbClr val="595959"/>
                </a:solidFill>
                <a:latin typeface="Calibri"/>
              </a:rPr>
              <a:t>Bezrobotni wg stażu pracy</a:t>
            </a:r>
          </a:p>
        </c:rich>
      </c:tx>
      <c:overlay val="0"/>
    </c:title>
    <c:autoTitleDeleted val="0"/>
    <c:plotArea>
      <c:barChart>
        <c:barDir val="bar"/>
        <c:grouping val="clustered"/>
        <c:varyColors val="0"/>
        <c:ser>
          <c:idx val="0"/>
          <c:order val="0"/>
          <c:tx>
            <c:strRef>
              <c:f>label 0</c:f>
              <c:strCache>
                <c:ptCount val="1"/>
                <c:pt idx="0">
                  <c:v>2020 r.</c:v>
                </c:pt>
              </c:strCache>
            </c:strRef>
          </c:tx>
          <c:spPr>
            <a:solidFill>
              <a:srgbClr val="00b050"/>
            </a:solidFill>
            <a:ln>
              <a:noFill/>
            </a:ln>
          </c:spPr>
          <c:invertIfNegative val="0"/>
          <c:dLbls>
            <c:dLblPos val="outEnd"/>
            <c:showLegendKey val="0"/>
            <c:showVal val="1"/>
            <c:showCatName val="0"/>
            <c:showSerName val="0"/>
            <c:showPercent val="0"/>
            <c:showLeaderLines val="0"/>
          </c:dLbls>
          <c:cat>
            <c:strRef>
              <c:f>categories</c:f>
              <c:strCache>
                <c:ptCount val="7"/>
                <c:pt idx="0">
                  <c:v>do 1 roku</c:v>
                </c:pt>
                <c:pt idx="1">
                  <c:v>1 - 5 lat</c:v>
                </c:pt>
                <c:pt idx="2">
                  <c:v>5 - 10 lat</c:v>
                </c:pt>
                <c:pt idx="3">
                  <c:v>10 - 20 lat</c:v>
                </c:pt>
                <c:pt idx="4">
                  <c:v>20 - 30 lat</c:v>
                </c:pt>
                <c:pt idx="5">
                  <c:v>30 lat i więcej</c:v>
                </c:pt>
                <c:pt idx="6">
                  <c:v>bez stażu</c:v>
                </c:pt>
              </c:strCache>
            </c:strRef>
          </c:cat>
          <c:val>
            <c:numRef>
              <c:f>0</c:f>
              <c:numCache>
                <c:formatCode>General</c:formatCode>
                <c:ptCount val="7"/>
                <c:pt idx="0">
                  <c:v>908</c:v>
                </c:pt>
                <c:pt idx="1">
                  <c:v>1100</c:v>
                </c:pt>
                <c:pt idx="2">
                  <c:v>764</c:v>
                </c:pt>
                <c:pt idx="3">
                  <c:v>696</c:v>
                </c:pt>
                <c:pt idx="4">
                  <c:v>440</c:v>
                </c:pt>
                <c:pt idx="5">
                  <c:v>153</c:v>
                </c:pt>
                <c:pt idx="6">
                  <c:v>829</c:v>
                </c:pt>
              </c:numCache>
            </c:numRef>
          </c:val>
        </c:ser>
        <c:ser>
          <c:idx val="1"/>
          <c:order val="1"/>
          <c:tx>
            <c:strRef>
              <c:f>label 1</c:f>
              <c:strCache>
                <c:ptCount val="1"/>
                <c:pt idx="0">
                  <c:v>2021 r.</c:v>
                </c:pt>
              </c:strCache>
            </c:strRef>
          </c:tx>
          <c:spPr>
            <a:solidFill>
              <a:srgbClr val="ed7d31"/>
            </a:solidFill>
            <a:ln>
              <a:noFill/>
            </a:ln>
          </c:spPr>
          <c:invertIfNegative val="0"/>
          <c:dLbls>
            <c:dLblPos val="outEnd"/>
            <c:showLegendKey val="0"/>
            <c:showVal val="1"/>
            <c:showCatName val="0"/>
            <c:showSerName val="0"/>
            <c:showPercent val="0"/>
            <c:showLeaderLines val="0"/>
          </c:dLbls>
          <c:cat>
            <c:strRef>
              <c:f>categories</c:f>
              <c:strCache>
                <c:ptCount val="7"/>
                <c:pt idx="0">
                  <c:v>do 1 roku</c:v>
                </c:pt>
                <c:pt idx="1">
                  <c:v>1 - 5 lat</c:v>
                </c:pt>
                <c:pt idx="2">
                  <c:v>5 - 10 lat</c:v>
                </c:pt>
                <c:pt idx="3">
                  <c:v>10 - 20 lat</c:v>
                </c:pt>
                <c:pt idx="4">
                  <c:v>20 - 30 lat</c:v>
                </c:pt>
                <c:pt idx="5">
                  <c:v>30 lat i więcej</c:v>
                </c:pt>
                <c:pt idx="6">
                  <c:v>bez stażu</c:v>
                </c:pt>
              </c:strCache>
            </c:strRef>
          </c:cat>
          <c:val>
            <c:numRef>
              <c:f>1</c:f>
              <c:numCache>
                <c:formatCode>General</c:formatCode>
                <c:ptCount val="7"/>
                <c:pt idx="0">
                  <c:v>814</c:v>
                </c:pt>
                <c:pt idx="1">
                  <c:v>987</c:v>
                </c:pt>
                <c:pt idx="2">
                  <c:v>672</c:v>
                </c:pt>
                <c:pt idx="3">
                  <c:v>620</c:v>
                </c:pt>
                <c:pt idx="4">
                  <c:v>387</c:v>
                </c:pt>
                <c:pt idx="5">
                  <c:v>130</c:v>
                </c:pt>
                <c:pt idx="6">
                  <c:v>697</c:v>
                </c:pt>
              </c:numCache>
            </c:numRef>
          </c:val>
        </c:ser>
        <c:gapWidth val="182"/>
        <c:overlap val="0"/>
        <c:axId val="90054391"/>
        <c:axId val="20642566"/>
      </c:barChart>
      <c:catAx>
        <c:axId val="90054391"/>
        <c:scaling>
          <c:orientation val="minMax"/>
        </c:scaling>
        <c:delete val="0"/>
        <c:axPos val="b"/>
        <c:numFmt formatCode="MM/D/YYYY" sourceLinked="1"/>
        <c:majorTickMark val="none"/>
        <c:minorTickMark val="none"/>
        <c:tickLblPos val="nextTo"/>
        <c:spPr>
          <a:ln w="9360">
            <a:solidFill>
              <a:srgbClr val="d9d9d9"/>
            </a:solidFill>
            <a:round/>
          </a:ln>
        </c:spPr>
        <c:txPr>
          <a:bodyPr/>
          <a:p>
            <a:pPr>
              <a:defRPr b="0" sz="900" spc="-1" strike="noStrike">
                <a:solidFill>
                  <a:srgbClr val="595959"/>
                </a:solidFill>
                <a:latin typeface="Calibri"/>
              </a:defRPr>
            </a:pPr>
          </a:p>
        </c:txPr>
        <c:crossAx val="20642566"/>
        <c:crosses val="autoZero"/>
        <c:auto val="1"/>
        <c:lblAlgn val="ctr"/>
        <c:lblOffset val="100"/>
      </c:catAx>
      <c:valAx>
        <c:axId val="20642566"/>
        <c:scaling>
          <c:orientation val="minMax"/>
        </c:scaling>
        <c:delete val="1"/>
        <c:axPos val="l"/>
        <c:majorGridlines>
          <c:spPr>
            <a:ln w="9360">
              <a:solidFill>
                <a:srgbClr val="d9d9d9"/>
              </a:solidFill>
              <a:round/>
            </a:ln>
          </c:spPr>
        </c:majorGridlines>
        <c:numFmt formatCode="General" sourceLinked="0"/>
        <c:majorTickMark val="none"/>
        <c:minorTickMark val="none"/>
        <c:tickLblPos val="nextTo"/>
        <c:spPr>
          <a:ln w="6480">
            <a:solidFill>
              <a:srgbClr val="8b8b8b"/>
            </a:solidFill>
            <a:round/>
          </a:ln>
        </c:spPr>
        <c:txPr>
          <a:bodyPr/>
          <a:p>
            <a:pPr>
              <a:defRPr b="0" sz="1000" spc="-1" strike="noStrike">
                <a:solidFill>
                  <a:srgbClr val="000000"/>
                </a:solidFill>
                <a:latin typeface="Calibri"/>
              </a:defRPr>
            </a:pPr>
          </a:p>
        </c:txPr>
        <c:crossAx val="90054391"/>
        <c:crosses val="autoZero"/>
      </c:valAx>
      <c:spPr>
        <a:noFill/>
        <a:ln>
          <a:noFill/>
        </a:ln>
      </c:spPr>
    </c:plotArea>
    <c:legend>
      <c:legendPos val="b"/>
      <c:overlay val="0"/>
      <c:spPr>
        <a:noFill/>
        <a:ln>
          <a:noFill/>
        </a:ln>
      </c:sp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Application>LibreOffice/5.4.1.2$Windows_x86 LibreOffice_project/ea7cb86e6eeb2bf3a5af73a8f7777ac570321527</Application>
  <Pages>25</Pages>
  <Words>4626</Words>
  <Characters>25592</Characters>
  <CharactersWithSpaces>29426</CharactersWithSpaces>
  <Paragraphs>1256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2022-01-31T07:13:00Z</dcterms:created>
  <dc:creator>Sławomir</dc:creator>
  <dc:description/>
  <dc:language>pl-PL</dc:language>
  <cp:lastModifiedBy>Sławomir</cp:lastModifiedBy>
  <cp:lastPrinted>2022-02-02T12:51:00Z</cp:lastPrinted>
  <dcterms:modified xsi:type="dcterms:W3CDTF">2022-02-09T07:18:00Z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