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footer4.xml" ContentType="application/vnd.openxmlformats-officedocument.wordprocessingml.footer+xml"/>
  <Override PartName="/word/media/image9.png" ContentType="image/png"/>
  <Override PartName="/word/media/image8.wmf" ContentType="image/x-wmf"/>
  <Override PartName="/word/media/image1.png" ContentType="image/png"/>
  <Override PartName="/word/media/image2.png" ContentType="image/png"/>
  <Override PartName="/word/media/image3.png" ContentType="image/png"/>
  <Override PartName="/word/media/image5.png" ContentType="image/png"/>
  <Override PartName="/word/media/image4.wmf" ContentType="image/x-wmf"/>
  <Override PartName="/word/media/image6.png" ContentType="image/png"/>
  <Override PartName="/word/media/image7.png" ContentType="image/png"/>
  <Override PartName="/word/media/image10.jpeg" ContentType="image/jpeg"/>
  <Override PartName="/word/media/image11.jpeg" ContentType="image/jpeg"/>
  <Override PartName="/word/media/image12.png" ContentType="image/png"/>
  <Override PartName="/word/media/image13.png" ContentType="image/png"/>
  <Override PartName="/word/footer2.xml" ContentType="application/vnd.openxmlformats-officedocument.wordprocessingml.footer+xml"/>
  <Override PartName="/word/footer3.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footer5.xml.rels" ContentType="application/vnd.openxmlformats-package.relationships+xml"/>
  <Override PartName="/word/_rels/document.xml.rels" ContentType="application/vnd.openxmlformats-package.relationships+xml"/>
  <Override PartName="/word/_rels/footer1.xml.rels" ContentType="application/vnd.openxmlformats-package.relationships+xml"/>
  <Override PartName="/word/_rels/footer2.xml.rels" ContentType="application/vnd.openxmlformats-package.relationships+xml"/>
  <Override PartName="/word/_rels/footer3.xml.rels" ContentType="application/vnd.openxmlformats-package.relationships+xml"/>
  <Override PartName="/word/_rels/footer4.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both"/>
        <w:rPr>
          <w:rFonts w:cs="Calibri"/>
        </w:rPr>
      </w:pPr>
      <w:r>
        <w:rPr>
          <w:rFonts w:cs="Calibri"/>
        </w:rPr>
      </w:r>
    </w:p>
    <w:p>
      <w:pPr>
        <w:pStyle w:val="Normal"/>
        <w:jc w:val="right"/>
        <w:rPr>
          <w:rFonts w:cs="Calibri"/>
        </w:rPr>
      </w:pPr>
      <w:r>
        <w:rPr>
          <w:rFonts w:cs="Calibri"/>
        </w:rPr>
        <w:tab/>
        <w:tab/>
        <w:tab/>
        <w:tab/>
        <w:t>Sosnowiec, dnia 15.02.2022r.</w:t>
      </w:r>
    </w:p>
    <w:p>
      <w:pPr>
        <w:pStyle w:val="Normal"/>
        <w:jc w:val="both"/>
        <w:rPr>
          <w:rFonts w:cs="Calibri"/>
          <w:color w:val="FF0000"/>
        </w:rPr>
      </w:pPr>
      <w:r>
        <w:rPr>
          <w:rFonts w:cs="Calibri"/>
          <w:color w:val="FF0000"/>
        </w:rPr>
      </w:r>
    </w:p>
    <w:p>
      <w:pPr>
        <w:pStyle w:val="Normal"/>
        <w:jc w:val="both"/>
        <w:rPr>
          <w:rFonts w:cs="Calibri"/>
        </w:rPr>
      </w:pPr>
      <w:r>
        <w:rPr/>
        <w:t>WRP.0012.01.02.2022.RO</w:t>
      </w:r>
    </w:p>
    <w:p>
      <w:pPr>
        <w:pStyle w:val="Normal"/>
        <w:jc w:val="both"/>
        <w:rPr>
          <w:rFonts w:cs="Calibri"/>
        </w:rPr>
      </w:pPr>
      <w:r>
        <w:rPr>
          <w:rFonts w:cs="Calibri"/>
        </w:rPr>
      </w:r>
    </w:p>
    <w:p>
      <w:pPr>
        <w:pStyle w:val="Normal"/>
        <w:jc w:val="both"/>
        <w:rPr>
          <w:rFonts w:cs="Calibri"/>
        </w:rPr>
      </w:pPr>
      <w:r>
        <w:rPr>
          <w:rFonts w:cs="Calibri"/>
        </w:rPr>
      </w:r>
    </w:p>
    <w:p>
      <w:pPr>
        <w:pStyle w:val="Normal"/>
        <w:jc w:val="both"/>
        <w:rPr>
          <w:rFonts w:cs="Calibri"/>
        </w:rPr>
      </w:pPr>
      <w:r>
        <w:rPr>
          <w:rFonts w:cs="Calibri"/>
        </w:rPr>
      </w:r>
    </w:p>
    <w:p>
      <w:pPr>
        <w:pStyle w:val="Normal"/>
        <w:jc w:val="both"/>
        <w:rPr>
          <w:rFonts w:cs="Calibri"/>
        </w:rPr>
      </w:pPr>
      <w:r>
        <w:rPr>
          <w:rFonts w:cs="Calibri"/>
        </w:rPr>
      </w:r>
    </w:p>
    <w:p>
      <w:pPr>
        <w:pStyle w:val="Normal"/>
        <w:jc w:val="both"/>
        <w:rPr>
          <w:rFonts w:cs="Calibri"/>
        </w:rPr>
      </w:pPr>
      <w:r>
        <w:rPr>
          <w:rFonts w:cs="Calibri"/>
        </w:rPr>
      </w:r>
    </w:p>
    <w:p>
      <w:pPr>
        <w:pStyle w:val="Normal"/>
        <w:jc w:val="both"/>
        <w:rPr>
          <w:rFonts w:cs="Calibri"/>
          <w:i/>
          <w:i/>
        </w:rPr>
      </w:pPr>
      <w:r>
        <w:rPr>
          <w:rFonts w:cs="Calibri"/>
          <w:i/>
        </w:rPr>
      </w:r>
    </w:p>
    <w:p>
      <w:pPr>
        <w:pStyle w:val="Normal"/>
        <w:ind w:left="5103" w:hanging="0"/>
        <w:jc w:val="both"/>
        <w:rPr>
          <w:rFonts w:cs="Calibri"/>
          <w:b/>
          <w:b/>
        </w:rPr>
      </w:pPr>
      <w:r>
        <w:rPr>
          <w:rFonts w:cs="Calibri"/>
          <w:b/>
        </w:rPr>
        <w:t>Szanowny Pan</w:t>
      </w:r>
    </w:p>
    <w:p>
      <w:pPr>
        <w:pStyle w:val="Normal"/>
        <w:ind w:left="5103" w:hanging="0"/>
        <w:jc w:val="both"/>
        <w:rPr>
          <w:rFonts w:cs="Calibri"/>
          <w:b/>
          <w:b/>
        </w:rPr>
      </w:pPr>
      <w:r>
        <w:rPr>
          <w:rFonts w:cs="Calibri"/>
          <w:b/>
        </w:rPr>
        <w:t>Kamil Wnuk</w:t>
      </w:r>
    </w:p>
    <w:p>
      <w:pPr>
        <w:pStyle w:val="Wcicietrecitekstu"/>
        <w:ind w:left="5103" w:hanging="0"/>
        <w:jc w:val="both"/>
        <w:rPr>
          <w:rFonts w:ascii="Calibri" w:hAnsi="Calibri" w:cs="Calibri"/>
          <w:sz w:val="22"/>
          <w:szCs w:val="22"/>
        </w:rPr>
      </w:pPr>
      <w:r>
        <w:rPr>
          <w:rFonts w:cs="Calibri" w:ascii="Calibri" w:hAnsi="Calibri"/>
          <w:sz w:val="22"/>
          <w:szCs w:val="22"/>
        </w:rPr>
        <w:t>Przewodniczący</w:t>
      </w:r>
    </w:p>
    <w:p>
      <w:pPr>
        <w:pStyle w:val="Wcicietrecitekstu"/>
        <w:ind w:left="5103" w:hanging="0"/>
        <w:rPr>
          <w:rFonts w:ascii="Calibri" w:hAnsi="Calibri" w:cs="Calibri"/>
          <w:sz w:val="22"/>
          <w:szCs w:val="22"/>
        </w:rPr>
      </w:pPr>
      <w:r>
        <w:rPr>
          <w:rFonts w:cs="Calibri" w:ascii="Calibri" w:hAnsi="Calibri"/>
          <w:sz w:val="22"/>
          <w:szCs w:val="22"/>
        </w:rPr>
        <w:t>Komisji Rozwoju Miasta i Ochrony Środowiska</w:t>
        <w:br/>
        <w:t>w/m</w:t>
      </w:r>
    </w:p>
    <w:p>
      <w:pPr>
        <w:pStyle w:val="Normal"/>
        <w:jc w:val="both"/>
        <w:rPr>
          <w:rFonts w:cs="Calibri"/>
        </w:rPr>
      </w:pPr>
      <w:r>
        <w:rPr>
          <w:rFonts w:cs="Calibri"/>
        </w:rPr>
      </w:r>
    </w:p>
    <w:p>
      <w:pPr>
        <w:pStyle w:val="Normal"/>
        <w:jc w:val="both"/>
        <w:rPr>
          <w:rFonts w:cs="Calibri"/>
        </w:rPr>
      </w:pPr>
      <w:r>
        <w:rPr>
          <w:rFonts w:cs="Calibri"/>
        </w:rPr>
      </w:r>
    </w:p>
    <w:p>
      <w:pPr>
        <w:pStyle w:val="Normal"/>
        <w:spacing w:lineRule="auto" w:line="360"/>
        <w:rPr>
          <w:rFonts w:cs="Calibri"/>
        </w:rPr>
      </w:pPr>
      <w:r>
        <w:rPr>
          <w:rFonts w:cs="Calibri"/>
        </w:rPr>
      </w:r>
    </w:p>
    <w:p>
      <w:pPr>
        <w:pStyle w:val="Tretekstu"/>
        <w:spacing w:lineRule="auto" w:line="360"/>
        <w:ind w:firstLine="708"/>
        <w:rPr>
          <w:rFonts w:ascii="Calibri" w:hAnsi="Calibri" w:cs="Calibri"/>
          <w:sz w:val="22"/>
          <w:szCs w:val="22"/>
        </w:rPr>
      </w:pPr>
      <w:r>
        <w:rPr>
          <w:rFonts w:cs="Calibri" w:ascii="Calibri" w:hAnsi="Calibri"/>
          <w:sz w:val="22"/>
          <w:szCs w:val="22"/>
        </w:rPr>
        <w:t>Wydział Rozwoju i Przedsiębiorczości przekazuje w załączeniu materiał własny dotyczący punktu nr 1 posiedzenia Komisji w dniu 21.02.2022r. - „Analiza lokalnego rynku pracy oraz zapoznanie się ze środkami na te działania przeznaczonymi na 2022 rok.”</w:t>
      </w:r>
    </w:p>
    <w:p>
      <w:pPr>
        <w:pStyle w:val="Normal"/>
        <w:spacing w:lineRule="auto" w:line="240" w:before="0" w:after="0"/>
        <w:jc w:val="both"/>
        <w:rPr>
          <w:rFonts w:cs="Calibri"/>
        </w:rPr>
      </w:pPr>
      <w:r>
        <w:rPr>
          <w:rFonts w:cs="Calibri"/>
        </w:rPr>
      </w:r>
    </w:p>
    <w:p>
      <w:pPr>
        <w:pStyle w:val="Normal"/>
        <w:spacing w:lineRule="auto" w:line="240" w:before="0" w:after="0"/>
        <w:jc w:val="both"/>
        <w:rPr>
          <w:rFonts w:cs="Calibri"/>
        </w:rPr>
      </w:pPr>
      <w:r>
        <w:rPr>
          <w:rFonts w:cs="Calibri"/>
        </w:rPr>
      </w:r>
    </w:p>
    <w:p>
      <w:pPr>
        <w:pStyle w:val="Normal"/>
        <w:spacing w:lineRule="auto" w:line="240" w:before="0" w:after="0"/>
        <w:jc w:val="both"/>
        <w:rPr>
          <w:rFonts w:cs="Calibri"/>
        </w:rPr>
      </w:pPr>
      <w:r>
        <w:rPr>
          <w:rFonts w:cs="Calibri"/>
        </w:rPr>
      </w:r>
    </w:p>
    <w:p>
      <w:pPr>
        <w:pStyle w:val="Normal"/>
        <w:spacing w:lineRule="auto" w:line="240" w:before="0" w:after="0"/>
        <w:jc w:val="both"/>
        <w:rPr>
          <w:rFonts w:cs="Calibri"/>
        </w:rPr>
      </w:pPr>
      <w:r>
        <w:rPr>
          <w:rFonts w:cs="Calibri"/>
        </w:rPr>
      </w:r>
    </w:p>
    <w:p>
      <w:pPr>
        <w:pStyle w:val="Normal"/>
        <w:spacing w:lineRule="auto" w:line="240" w:before="0" w:after="0"/>
        <w:jc w:val="both"/>
        <w:rPr>
          <w:rFonts w:cs="Calibri"/>
        </w:rPr>
      </w:pPr>
      <w:r>
        <w:rPr>
          <w:rFonts w:cs="Calibri"/>
        </w:rPr>
      </w:r>
    </w:p>
    <w:p>
      <w:pPr>
        <w:pStyle w:val="Normal"/>
        <w:spacing w:lineRule="auto" w:line="240" w:before="0" w:after="0"/>
        <w:jc w:val="both"/>
        <w:rPr>
          <w:rFonts w:cs="Calibri"/>
        </w:rPr>
      </w:pPr>
      <w:r>
        <w:rPr>
          <w:rFonts w:cs="Calibri"/>
        </w:rPr>
      </w:r>
    </w:p>
    <w:p>
      <w:pPr>
        <w:pStyle w:val="Normal"/>
        <w:spacing w:lineRule="auto" w:line="240" w:before="0" w:after="0"/>
        <w:jc w:val="both"/>
        <w:rPr>
          <w:rFonts w:cs="Calibri"/>
        </w:rPr>
      </w:pPr>
      <w:r>
        <w:rPr>
          <w:rFonts w:cs="Calibri"/>
        </w:rPr>
      </w:r>
    </w:p>
    <w:p>
      <w:pPr>
        <w:pStyle w:val="Normal"/>
        <w:spacing w:lineRule="auto" w:line="240" w:before="0" w:after="0"/>
        <w:jc w:val="both"/>
        <w:rPr>
          <w:rFonts w:cs="Calibri"/>
        </w:rPr>
      </w:pPr>
      <w:r>
        <w:rPr>
          <w:rFonts w:cs="Calibri"/>
        </w:rPr>
      </w:r>
    </w:p>
    <w:p>
      <w:pPr>
        <w:pStyle w:val="Normal"/>
        <w:spacing w:lineRule="auto" w:line="240" w:before="0" w:after="0"/>
        <w:jc w:val="both"/>
        <w:rPr>
          <w:rFonts w:cs="Calibri"/>
        </w:rPr>
      </w:pPr>
      <w:r>
        <w:rPr>
          <w:rFonts w:cs="Calibri"/>
        </w:rPr>
      </w:r>
    </w:p>
    <w:p>
      <w:pPr>
        <w:pStyle w:val="Normal"/>
        <w:spacing w:lineRule="auto" w:line="240" w:before="0" w:after="0"/>
        <w:jc w:val="both"/>
        <w:rPr>
          <w:rFonts w:cs="Calibri"/>
        </w:rPr>
      </w:pPr>
      <w:r>
        <w:rPr>
          <w:rFonts w:cs="Calibri"/>
        </w:rPr>
      </w:r>
    </w:p>
    <w:p>
      <w:pPr>
        <w:pStyle w:val="Normal"/>
        <w:spacing w:lineRule="auto" w:line="240" w:before="0" w:after="0"/>
        <w:jc w:val="both"/>
        <w:rPr>
          <w:rFonts w:cs="Calibri"/>
        </w:rPr>
      </w:pPr>
      <w:r>
        <w:rPr>
          <w:rFonts w:cs="Calibri"/>
        </w:rPr>
      </w:r>
    </w:p>
    <w:p>
      <w:pPr>
        <w:pStyle w:val="Normal"/>
        <w:spacing w:lineRule="auto" w:line="240" w:before="0" w:after="0"/>
        <w:jc w:val="both"/>
        <w:rPr>
          <w:rFonts w:cs="Calibri"/>
        </w:rPr>
      </w:pPr>
      <w:r>
        <w:rPr>
          <w:rFonts w:cs="Calibri"/>
        </w:rPr>
      </w:r>
    </w:p>
    <w:p>
      <w:pPr>
        <w:pStyle w:val="Normal"/>
        <w:spacing w:lineRule="auto" w:line="240" w:before="0" w:after="0"/>
        <w:jc w:val="both"/>
        <w:rPr>
          <w:rFonts w:cs="Calibri"/>
        </w:rPr>
      </w:pPr>
      <w:r>
        <w:rPr>
          <w:rFonts w:cs="Calibri"/>
        </w:rPr>
      </w:r>
    </w:p>
    <w:p>
      <w:pPr>
        <w:pStyle w:val="Normal"/>
        <w:spacing w:lineRule="auto" w:line="240" w:before="0" w:after="0"/>
        <w:jc w:val="both"/>
        <w:rPr>
          <w:rFonts w:cs="Calibri"/>
        </w:rPr>
      </w:pPr>
      <w:r>
        <w:rPr>
          <w:rFonts w:cs="Calibri"/>
        </w:rPr>
      </w:r>
    </w:p>
    <w:p>
      <w:pPr>
        <w:pStyle w:val="Normal"/>
        <w:spacing w:lineRule="auto" w:line="240" w:before="0" w:after="0"/>
        <w:jc w:val="both"/>
        <w:rPr>
          <w:rFonts w:cs="Calibri"/>
        </w:rPr>
      </w:pPr>
      <w:r>
        <w:rPr>
          <w:rFonts w:cs="Calibri"/>
        </w:rPr>
      </w:r>
    </w:p>
    <w:p>
      <w:pPr>
        <w:pStyle w:val="Nagwek1"/>
        <w:rPr/>
      </w:pPr>
      <w:r>
        <w:rPr/>
        <w:t>Rynek pracy w Sosnowcu</w:t>
      </w:r>
    </w:p>
    <w:p>
      <w:pPr>
        <w:pStyle w:val="Normal"/>
        <w:jc w:val="both"/>
        <w:rPr/>
      </w:pPr>
      <w:r>
        <w:rPr/>
        <w:t>Rynek pracy jest specyficznym rodzajem rynku, na którym dochodzi do wymiany, której przedmiotem jest praca. Taka transakcja odbywa się między nabywcami (czyli pracodawcami, którzy zgłaszają popyt na pracę i oferują miejsca zatrudnienia) a sprzedawcami (czyli pracownikami, którzy proponując swoje usługi, decydują tym samym o podaży pracy). Rynek pracy dotyczy więc procesów związanych z najmem pracowników. Jego celem jest dążenie do uzyskania równowagi między popytem a podażą na pracę poprzez odpowiednią alokację i relokację zasobów ludzkich.</w:t>
      </w:r>
    </w:p>
    <w:p>
      <w:pPr>
        <w:pStyle w:val="Normal"/>
        <w:jc w:val="both"/>
        <w:rPr>
          <w:rFonts w:cs="Calibri"/>
          <w:color w:val="000000"/>
        </w:rPr>
      </w:pPr>
      <w:r>
        <w:rPr/>
        <w:t>Najbardziej podstawową kategorią jest lokalny rynek pracy, który obejmuje daną miejscowość</w:t>
      </w:r>
      <w:r>
        <w:rPr>
          <w:rStyle w:val="Fontstyle01"/>
        </w:rPr>
        <w:t>.</w:t>
      </w:r>
      <w:r>
        <w:rPr>
          <w:rFonts w:cs="Calibri"/>
          <w:color w:val="000000"/>
        </w:rPr>
        <w:t xml:space="preserve"> </w:t>
      </w:r>
      <w:r>
        <w:rPr/>
        <w:t>Jednak ze względu na specyfikę otoczenia miasta na prawach powiatu jakim jest Sosnowiec należy rozpatrywać lokalny rynek pracy również przez pryzmat istniejącego tworu jakim jest Górnośląsko – Zagłębiowska Metropolia czyli 41 miast i gmin o łącznej powierzchni 2,5 tys. km kw., w których mieszka 2,3 mln mieszkańców, działa 240 tys. firm i przedsiębiorstw, które wytwarzają ok. 8 proc. PKB naszego kraju. Pierwsza metropolia w Polsce  rozpoczęła 1 stycznia 2018 roku realizację ustawowych zadań do których między innymi należą:</w:t>
      </w:r>
    </w:p>
    <w:p>
      <w:pPr>
        <w:pStyle w:val="Normal"/>
        <w:jc w:val="both"/>
        <w:rPr/>
      </w:pPr>
      <w:r>
        <w:rPr/>
        <w:t>- TRANSPORT PUBLICZNY czyli zapewnienie mieszkańcom wachlarza komunikacyjnych możliwości, które będą dopasowane do potrzeb danej chwili i ich osobistych preferencji.</w:t>
      </w:r>
    </w:p>
    <w:p>
      <w:pPr>
        <w:pStyle w:val="Normal"/>
        <w:jc w:val="both"/>
        <w:rPr/>
      </w:pPr>
      <w:r>
        <w:rPr/>
        <w:t xml:space="preserve">- ROZWÓJ SPOŁECZNO-GOSPODARCZY czyli dążenie do efektu synergii, polegającego na zwiększaniu zainteresowania inwestorów ofertą miast i gmin Metropolii a tym samym poprawie jakości i komfortu życia mieszkańców. </w:t>
      </w:r>
    </w:p>
    <w:p>
      <w:pPr>
        <w:pStyle w:val="Normal"/>
        <w:jc w:val="both"/>
        <w:rPr/>
      </w:pPr>
      <w:r>
        <w:rPr/>
        <w:t>- KSZTAŁTOWANIE ŁADU PRZESTRZENNEGO:  - rozwój przestrzenny o charakterze metropolitalnym, ujednoliconym, równomiernym i zracjonalizowanym. To również współpraca na rzecz rozwoju systemów komunikacyjnych, w tym tras rowerowych.</w:t>
      </w:r>
    </w:p>
    <w:p>
      <w:pPr>
        <w:pStyle w:val="Normal"/>
        <w:jc w:val="both"/>
        <w:rPr/>
      </w:pPr>
      <w:r>
        <w:rPr/>
        <w:t xml:space="preserve">- PROMOCJA - upowszechnianie wizerunku Metropolii jak  synonimu potencjału gospodarczego, społecznego, intelektualnego, komunikacyjnego i kulturalnego. </w:t>
      </w:r>
    </w:p>
    <w:p>
      <w:pPr>
        <w:pStyle w:val="Normal"/>
        <w:jc w:val="both"/>
        <w:rPr/>
      </w:pPr>
      <w:r>
        <w:rPr/>
        <w:t>Mając świadomość specyfiki obszaru, w którym się znajdujemy można dokonać analizy rynku pracy.</w:t>
      </w:r>
    </w:p>
    <w:p>
      <w:pPr>
        <w:pStyle w:val="Normal"/>
        <w:jc w:val="both"/>
        <w:rPr/>
      </w:pPr>
      <w:r>
        <w:rPr/>
        <w:t xml:space="preserve">Do tego zagadnienia niezbędne jest zapoznanie się z potencjałem ludnościowym i gospodarczym, które w sposób bezpośredni kształtują relacje i determinuje rozwój w tym zakresie. </w:t>
      </w:r>
    </w:p>
    <w:p>
      <w:pPr>
        <w:pStyle w:val="Normal"/>
        <w:jc w:val="both"/>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agwek1"/>
        <w:rPr/>
      </w:pPr>
      <w:r>
        <w:rPr/>
        <w:t>Potencjał ludnościowy Sosnowca</w:t>
      </w:r>
    </w:p>
    <w:p>
      <w:pPr>
        <w:pStyle w:val="Normal"/>
        <w:rPr/>
      </w:pPr>
      <w:r>
        <w:rPr/>
        <w:t xml:space="preserve">Z roku na rok Sosnowiec jak i większość miast regionu podlega zjawisku depopulacji. </w:t>
      </w:r>
    </w:p>
    <w:p>
      <w:pPr>
        <w:pStyle w:val="Normal"/>
        <w:rPr/>
      </w:pPr>
      <w:r>
        <w:rPr/>
        <w:t>Przedstawia to poniższy wykres opracowany na podstawie danych GUS</w:t>
      </w:r>
    </w:p>
    <w:p>
      <w:pPr>
        <w:pStyle w:val="Normal"/>
        <w:rPr/>
      </w:pPr>
      <w:r>
        <w:rPr/>
        <w:drawing>
          <wp:inline distT="0" distB="0" distL="0" distR="0">
            <wp:extent cx="5760720" cy="2358390"/>
            <wp:effectExtent l="0" t="0" r="0" b="0"/>
            <wp:docPr id="1" name="Obraz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7" descr=""/>
                    <pic:cNvPicPr>
                      <a:picLocks noChangeAspect="1" noChangeArrowheads="1"/>
                    </pic:cNvPicPr>
                  </pic:nvPicPr>
                  <pic:blipFill>
                    <a:blip r:embed="rId2"/>
                    <a:stretch>
                      <a:fillRect/>
                    </a:stretch>
                  </pic:blipFill>
                  <pic:spPr bwMode="auto">
                    <a:xfrm>
                      <a:off x="0" y="0"/>
                      <a:ext cx="5760720" cy="2358390"/>
                    </a:xfrm>
                    <a:prstGeom prst="rect">
                      <a:avLst/>
                    </a:prstGeom>
                  </pic:spPr>
                </pic:pic>
              </a:graphicData>
            </a:graphic>
          </wp:inline>
        </w:drawing>
      </w:r>
    </w:p>
    <w:p>
      <w:pPr>
        <w:pStyle w:val="Normal"/>
        <w:rPr/>
      </w:pPr>
      <w:r>
        <w:rPr/>
      </w:r>
    </w:p>
    <w:p>
      <w:pPr>
        <w:pStyle w:val="Normal"/>
        <w:rPr/>
      </w:pPr>
      <w:r>
        <w:rPr/>
        <w:t>Odwrócenia trendów nie widać też w saldzie migracji, które prezentuje się w następujący sposób:</w:t>
      </w:r>
    </w:p>
    <w:p>
      <w:pPr>
        <w:pStyle w:val="Normal"/>
        <w:rPr/>
      </w:pPr>
      <w:r>
        <w:rPr/>
        <w:drawing>
          <wp:inline distT="0" distB="0" distL="0" distR="0">
            <wp:extent cx="5760720" cy="2729230"/>
            <wp:effectExtent l="0" t="0" r="0" b="0"/>
            <wp:docPr id="2" name="Obraz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8" descr=""/>
                    <pic:cNvPicPr>
                      <a:picLocks noChangeAspect="1" noChangeArrowheads="1"/>
                    </pic:cNvPicPr>
                  </pic:nvPicPr>
                  <pic:blipFill>
                    <a:blip r:embed="rId3"/>
                    <a:stretch>
                      <a:fillRect/>
                    </a:stretch>
                  </pic:blipFill>
                  <pic:spPr bwMode="auto">
                    <a:xfrm>
                      <a:off x="0" y="0"/>
                      <a:ext cx="5760720" cy="2729230"/>
                    </a:xfrm>
                    <a:prstGeom prst="rect">
                      <a:avLst/>
                    </a:prstGeom>
                  </pic:spPr>
                </pic:pic>
              </a:graphicData>
            </a:graphic>
          </wp:inline>
        </w:drawing>
      </w:r>
    </w:p>
    <w:p>
      <w:pPr>
        <w:pStyle w:val="Normal"/>
        <w:rPr/>
      </w:pPr>
      <w:r>
        <w:rPr/>
      </w:r>
    </w:p>
    <w:p>
      <w:pPr>
        <w:pStyle w:val="Normal"/>
        <w:jc w:val="both"/>
        <w:rPr/>
      </w:pPr>
      <w:r>
        <w:rPr/>
        <w:t xml:space="preserve">Główną  przyczyną tych zjawisk jest ujemny przyrost naturalny, który stanowi wypadkową rosnącej liczby zgonów ( zwłaszcza w ostatnim czasie) i malejącej liczby urodzeń. Już od wielu lat widoczna jest co raz mniejsza skłonność Polaków do posiadania większej liczby dzieci, a jeśli już to modelem dominującym jest model 2+1, który przy obecnej sytuacji w żaden sposób nie przyczynia się do wzrostu wskaźnika zastępowalności pokoleń. Podobne zjawisko zachodzi w naszym mieście co obrazuje poniższy wykres.  </w:t>
      </w:r>
    </w:p>
    <w:p>
      <w:pPr>
        <w:pStyle w:val="Normal"/>
        <w:rPr/>
      </w:pPr>
      <w:r>
        <w:rPr/>
        <w:drawing>
          <wp:inline distT="0" distB="0" distL="0" distR="0">
            <wp:extent cx="5760720" cy="3905885"/>
            <wp:effectExtent l="0" t="0" r="0" b="0"/>
            <wp:docPr id="3" name="Obraz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1" descr=""/>
                    <pic:cNvPicPr>
                      <a:picLocks noChangeAspect="1" noChangeArrowheads="1"/>
                    </pic:cNvPicPr>
                  </pic:nvPicPr>
                  <pic:blipFill>
                    <a:blip r:embed="rId4"/>
                    <a:stretch>
                      <a:fillRect/>
                    </a:stretch>
                  </pic:blipFill>
                  <pic:spPr bwMode="auto">
                    <a:xfrm>
                      <a:off x="0" y="0"/>
                      <a:ext cx="5760720" cy="3905885"/>
                    </a:xfrm>
                    <a:prstGeom prst="rect">
                      <a:avLst/>
                    </a:prstGeom>
                  </pic:spPr>
                </pic:pic>
              </a:graphicData>
            </a:graphic>
          </wp:inline>
        </w:drawing>
      </w:r>
    </w:p>
    <w:p>
      <w:pPr>
        <w:pStyle w:val="Normal"/>
        <w:jc w:val="both"/>
        <w:rPr/>
      </w:pPr>
      <w:r>
        <w:rPr/>
        <w:t>Mając na uwadze fakt, że negatywne zjawiska demograficzne nasiliły się w ostatnich 2 latach, kiedy to cały świat zmagał się z pandemią przedstawiono poniżej bardziej szczegółowy wykaz dotyczący tych tendencji z uwzględnieniem danych z 2021 r. (na podstawie informacji z Bazy Danych Lokalnych GUS)</w:t>
      </w:r>
    </w:p>
    <w:tbl>
      <w:tblPr>
        <w:tblpPr w:bottomFromText="0" w:horzAnchor="margin" w:leftFromText="141" w:rightFromText="141" w:tblpX="0" w:tblpXSpec="center" w:tblpY="111" w:topFromText="0" w:vertAnchor="text"/>
        <w:tblW w:w="9278"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65" w:type="dxa"/>
          <w:bottom w:w="0" w:type="dxa"/>
          <w:right w:w="70" w:type="dxa"/>
        </w:tblCellMar>
        <w:tblLook w:val="04a0"/>
      </w:tblPr>
      <w:tblGrid>
        <w:gridCol w:w="843"/>
        <w:gridCol w:w="1212"/>
        <w:gridCol w:w="2357"/>
        <w:gridCol w:w="2358"/>
        <w:gridCol w:w="2357"/>
        <w:gridCol w:w="150"/>
      </w:tblGrid>
      <w:tr>
        <w:trPr>
          <w:trHeight w:val="765" w:hRule="atLeast"/>
        </w:trPr>
        <w:tc>
          <w:tcPr>
            <w:tcW w:w="843"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5" w:type="dxa"/>
            </w:tcMar>
            <w:vAlign w:val="center"/>
          </w:tcPr>
          <w:p>
            <w:pPr>
              <w:pStyle w:val="Normal"/>
              <w:spacing w:before="0" w:after="160"/>
              <w:jc w:val="center"/>
              <w:rPr>
                <w:rFonts w:eastAsia="Times New Roman" w:cs="Calibri"/>
                <w:lang w:eastAsia="pl-PL"/>
              </w:rPr>
            </w:pPr>
            <w:r>
              <w:rPr>
                <w:rFonts w:eastAsia="Times New Roman" w:cs="Calibri"/>
                <w:lang w:eastAsia="pl-PL"/>
              </w:rPr>
              <w:t>Rok</w:t>
            </w:r>
          </w:p>
        </w:tc>
        <w:tc>
          <w:tcPr>
            <w:tcW w:w="1212" w:type="dxa"/>
            <w:vMerge w:val="restart"/>
            <w:tcBorders>
              <w:top w:val="single" w:sz="4" w:space="0" w:color="00000A"/>
              <w:left w:val="single" w:sz="4" w:space="0" w:color="00000A"/>
              <w:bottom w:val="single" w:sz="4" w:space="0" w:color="000001"/>
              <w:right w:val="single" w:sz="12" w:space="0" w:color="00000A"/>
              <w:insideH w:val="single" w:sz="4" w:space="0" w:color="000001"/>
              <w:insideV w:val="single" w:sz="12" w:space="0" w:color="00000A"/>
            </w:tcBorders>
            <w:shd w:color="auto" w:fill="auto" w:val="clear"/>
            <w:tcMar>
              <w:left w:w="65" w:type="dxa"/>
            </w:tcMar>
            <w:vAlign w:val="center"/>
          </w:tcPr>
          <w:p>
            <w:pPr>
              <w:pStyle w:val="Normal"/>
              <w:spacing w:before="0" w:after="160"/>
              <w:jc w:val="center"/>
              <w:rPr>
                <w:rFonts w:eastAsia="Times New Roman" w:cs="Calibri"/>
                <w:lang w:eastAsia="pl-PL"/>
              </w:rPr>
            </w:pPr>
            <w:r>
              <w:rPr>
                <w:rFonts w:eastAsia="Times New Roman" w:cs="Calibri"/>
                <w:lang w:eastAsia="pl-PL"/>
              </w:rPr>
              <w:t>Półrocza</w:t>
            </w:r>
          </w:p>
        </w:tc>
        <w:tc>
          <w:tcPr>
            <w:tcW w:w="2357" w:type="dxa"/>
            <w:vMerge w:val="restart"/>
            <w:tcBorders>
              <w:top w:val="single" w:sz="4" w:space="0" w:color="00000A"/>
              <w:right w:val="single" w:sz="12" w:space="0" w:color="000001"/>
              <w:insideV w:val="single" w:sz="12" w:space="0" w:color="000001"/>
            </w:tcBorders>
            <w:shd w:color="auto" w:fill="auto" w:val="clear"/>
            <w:vAlign w:val="center"/>
          </w:tcPr>
          <w:p>
            <w:pPr>
              <w:pStyle w:val="Normal"/>
              <w:jc w:val="center"/>
              <w:rPr>
                <w:rFonts w:eastAsia="Times New Roman" w:cs="Calibri"/>
                <w:lang w:eastAsia="pl-PL"/>
              </w:rPr>
            </w:pPr>
            <w:r>
              <w:rPr>
                <w:rFonts w:eastAsia="Times New Roman" w:cs="Calibri"/>
                <w:lang w:eastAsia="pl-PL"/>
              </w:rPr>
              <w:t>Liczba urodzeń żywych</w:t>
            </w:r>
          </w:p>
          <w:p>
            <w:pPr>
              <w:pStyle w:val="Normal"/>
              <w:jc w:val="center"/>
              <w:rPr>
                <w:rFonts w:eastAsia="Times New Roman" w:cs="Calibri"/>
                <w:lang w:eastAsia="pl-PL"/>
              </w:rPr>
            </w:pPr>
            <w:r>
              <w:rPr>
                <w:rFonts w:eastAsia="Times New Roman" w:cs="Calibri"/>
                <w:lang w:eastAsia="pl-PL"/>
              </w:rPr>
              <w:t>w Sosnowcu</w:t>
            </w:r>
          </w:p>
          <w:p>
            <w:pPr>
              <w:pStyle w:val="Normal"/>
              <w:spacing w:before="0" w:after="160"/>
              <w:jc w:val="center"/>
              <w:rPr>
                <w:rFonts w:eastAsia="Times New Roman" w:cs="Calibri"/>
                <w:lang w:eastAsia="pl-PL"/>
              </w:rPr>
            </w:pPr>
            <w:r>
              <w:rPr>
                <w:rFonts w:eastAsia="Times New Roman" w:cs="Calibri"/>
                <w:lang w:eastAsia="pl-PL"/>
              </w:rPr>
              <w:t>GUS</w:t>
            </w:r>
          </w:p>
        </w:tc>
        <w:tc>
          <w:tcPr>
            <w:tcW w:w="2358" w:type="dxa"/>
            <w:vMerge w:val="restart"/>
            <w:tcBorders>
              <w:top w:val="single" w:sz="4" w:space="0" w:color="00000A"/>
              <w:right w:val="single" w:sz="4" w:space="0" w:color="00000A"/>
              <w:insideV w:val="single" w:sz="4" w:space="0" w:color="00000A"/>
            </w:tcBorders>
            <w:shd w:color="auto" w:fill="auto" w:val="clear"/>
            <w:vAlign w:val="center"/>
          </w:tcPr>
          <w:p>
            <w:pPr>
              <w:pStyle w:val="Normal"/>
              <w:jc w:val="center"/>
              <w:rPr>
                <w:rFonts w:eastAsia="Times New Roman" w:cs="Calibri"/>
                <w:lang w:eastAsia="pl-PL"/>
              </w:rPr>
            </w:pPr>
            <w:r>
              <w:rPr>
                <w:rFonts w:eastAsia="Times New Roman" w:cs="Calibri"/>
                <w:lang w:eastAsia="pl-PL"/>
              </w:rPr>
              <w:t>Liczba Zgonów</w:t>
            </w:r>
          </w:p>
          <w:p>
            <w:pPr>
              <w:pStyle w:val="Normal"/>
              <w:jc w:val="center"/>
              <w:rPr>
                <w:rFonts w:eastAsia="Times New Roman" w:cs="Calibri"/>
                <w:lang w:eastAsia="pl-PL"/>
              </w:rPr>
            </w:pPr>
            <w:r>
              <w:rPr>
                <w:rFonts w:eastAsia="Times New Roman" w:cs="Calibri"/>
                <w:lang w:eastAsia="pl-PL"/>
              </w:rPr>
              <w:t xml:space="preserve"> </w:t>
            </w:r>
            <w:r>
              <w:rPr>
                <w:rFonts w:eastAsia="Times New Roman" w:cs="Calibri"/>
                <w:lang w:eastAsia="pl-PL"/>
              </w:rPr>
              <w:t>w Sosnowcu</w:t>
            </w:r>
          </w:p>
          <w:p>
            <w:pPr>
              <w:pStyle w:val="Normal"/>
              <w:spacing w:before="0" w:after="160"/>
              <w:jc w:val="center"/>
              <w:rPr>
                <w:rFonts w:eastAsia="Times New Roman" w:cs="Calibri"/>
                <w:lang w:eastAsia="pl-PL"/>
              </w:rPr>
            </w:pPr>
            <w:r>
              <w:rPr>
                <w:rFonts w:eastAsia="Times New Roman" w:cs="Calibri"/>
                <w:lang w:eastAsia="pl-PL"/>
              </w:rPr>
              <w:t>GUS</w:t>
            </w:r>
          </w:p>
        </w:tc>
        <w:tc>
          <w:tcPr>
            <w:tcW w:w="2357" w:type="dxa"/>
            <w:vMerge w:val="restart"/>
            <w:tcBorders>
              <w:top w:val="single" w:sz="4" w:space="0" w:color="00000A"/>
              <w:left w:val="single" w:sz="12" w:space="0" w:color="00000A"/>
              <w:right w:val="single" w:sz="4" w:space="0" w:color="00000A"/>
              <w:insideV w:val="single" w:sz="4" w:space="0" w:color="00000A"/>
            </w:tcBorders>
            <w:shd w:color="auto" w:fill="auto" w:val="clear"/>
            <w:tcMar>
              <w:left w:w="55" w:type="dxa"/>
            </w:tcMar>
            <w:vAlign w:val="center"/>
          </w:tcPr>
          <w:p>
            <w:pPr>
              <w:pStyle w:val="Normal"/>
              <w:jc w:val="center"/>
              <w:rPr>
                <w:rFonts w:eastAsia="Times New Roman" w:cs="Calibri"/>
                <w:lang w:eastAsia="pl-PL"/>
              </w:rPr>
            </w:pPr>
            <w:r>
              <w:rPr>
                <w:rFonts w:eastAsia="Times New Roman" w:cs="Calibri"/>
                <w:lang w:eastAsia="pl-PL"/>
              </w:rPr>
              <w:t>Liczba Ludności</w:t>
            </w:r>
          </w:p>
          <w:p>
            <w:pPr>
              <w:pStyle w:val="Normal"/>
              <w:jc w:val="center"/>
              <w:rPr>
                <w:rFonts w:eastAsia="Times New Roman" w:cs="Calibri"/>
                <w:lang w:eastAsia="pl-PL"/>
              </w:rPr>
            </w:pPr>
            <w:r>
              <w:rPr>
                <w:rFonts w:eastAsia="Times New Roman" w:cs="Calibri"/>
                <w:lang w:eastAsia="pl-PL"/>
              </w:rPr>
              <w:t>w Sosnowcu</w:t>
            </w:r>
          </w:p>
          <w:p>
            <w:pPr>
              <w:pStyle w:val="Normal"/>
              <w:spacing w:before="0" w:after="160"/>
              <w:jc w:val="center"/>
              <w:rPr>
                <w:rFonts w:eastAsia="Times New Roman" w:cs="Calibri"/>
                <w:lang w:eastAsia="pl-PL"/>
              </w:rPr>
            </w:pPr>
            <w:r>
              <w:rPr>
                <w:rFonts w:eastAsia="Times New Roman" w:cs="Calibri"/>
                <w:lang w:eastAsia="pl-PL"/>
              </w:rPr>
              <w:t>GUS</w:t>
            </w:r>
          </w:p>
        </w:tc>
        <w:tc>
          <w:tcPr>
            <w:tcW w:w="150" w:type="dxa"/>
            <w:tcBorders/>
            <w:shd w:fill="auto" w:val="clear"/>
          </w:tcPr>
          <w:p>
            <w:pPr>
              <w:pStyle w:val="Normal"/>
              <w:widowControl/>
              <w:bidi w:val="0"/>
              <w:spacing w:lineRule="auto" w:line="259" w:before="0" w:after="160"/>
              <w:jc w:val="left"/>
              <w:rPr/>
            </w:pPr>
            <w:r>
              <w:rPr/>
            </w:r>
          </w:p>
        </w:tc>
      </w:tr>
      <w:tr>
        <w:trPr>
          <w:trHeight w:val="305" w:hRule="atLeast"/>
        </w:trPr>
        <w:tc>
          <w:tcPr>
            <w:tcW w:w="84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center"/>
          </w:tcPr>
          <w:p>
            <w:pPr>
              <w:pStyle w:val="Normal"/>
              <w:spacing w:before="0" w:after="160"/>
              <w:rPr>
                <w:rFonts w:eastAsia="Times New Roman" w:cs="Calibri"/>
                <w:lang w:eastAsia="pl-PL"/>
              </w:rPr>
            </w:pPr>
            <w:r>
              <w:rPr>
                <w:rFonts w:eastAsia="Times New Roman" w:cs="Calibri"/>
                <w:lang w:eastAsia="pl-PL"/>
              </w:rPr>
            </w:r>
          </w:p>
        </w:tc>
        <w:tc>
          <w:tcPr>
            <w:tcW w:w="1212" w:type="dxa"/>
            <w:vMerge w:val="continue"/>
            <w:tcBorders>
              <w:top w:val="single" w:sz="4" w:space="0" w:color="00000A"/>
              <w:left w:val="single" w:sz="4" w:space="0" w:color="00000A"/>
              <w:bottom w:val="single" w:sz="4" w:space="0" w:color="000001"/>
              <w:right w:val="single" w:sz="12" w:space="0" w:color="00000A"/>
              <w:insideH w:val="single" w:sz="4" w:space="0" w:color="000001"/>
              <w:insideV w:val="single" w:sz="12" w:space="0" w:color="00000A"/>
            </w:tcBorders>
            <w:shd w:fill="auto" w:val="clear"/>
            <w:tcMar>
              <w:left w:w="65" w:type="dxa"/>
            </w:tcMar>
            <w:vAlign w:val="center"/>
          </w:tcPr>
          <w:p>
            <w:pPr>
              <w:pStyle w:val="Normal"/>
              <w:spacing w:before="0" w:after="160"/>
              <w:rPr>
                <w:rFonts w:eastAsia="Times New Roman" w:cs="Calibri"/>
                <w:lang w:eastAsia="pl-PL"/>
              </w:rPr>
            </w:pPr>
            <w:r>
              <w:rPr>
                <w:rFonts w:eastAsia="Times New Roman" w:cs="Calibri"/>
                <w:lang w:eastAsia="pl-PL"/>
              </w:rPr>
            </w:r>
          </w:p>
        </w:tc>
        <w:tc>
          <w:tcPr>
            <w:tcW w:w="2357" w:type="dxa"/>
            <w:vMerge w:val="continue"/>
            <w:tcBorders>
              <w:left w:val="single" w:sz="12" w:space="0" w:color="00000A"/>
              <w:bottom w:val="single" w:sz="4" w:space="0" w:color="00000A"/>
              <w:right w:val="single" w:sz="12" w:space="0" w:color="000001"/>
              <w:insideH w:val="single" w:sz="4" w:space="0" w:color="00000A"/>
              <w:insideV w:val="single" w:sz="12" w:space="0" w:color="000001"/>
            </w:tcBorders>
            <w:shd w:fill="auto" w:val="clear"/>
            <w:tcMar>
              <w:left w:w="55" w:type="dxa"/>
            </w:tcMar>
            <w:vAlign w:val="center"/>
          </w:tcPr>
          <w:p>
            <w:pPr>
              <w:pStyle w:val="Normal"/>
              <w:spacing w:before="0" w:after="160"/>
              <w:rPr>
                <w:rFonts w:eastAsia="Times New Roman" w:cs="Calibri"/>
                <w:lang w:eastAsia="pl-PL"/>
              </w:rPr>
            </w:pPr>
            <w:r>
              <w:rPr>
                <w:rFonts w:eastAsia="Times New Roman" w:cs="Calibri"/>
                <w:lang w:eastAsia="pl-PL"/>
              </w:rPr>
            </w:r>
          </w:p>
        </w:tc>
        <w:tc>
          <w:tcPr>
            <w:tcW w:w="2358" w:type="dxa"/>
            <w:vMerge w:val="continue"/>
            <w:tcBorders>
              <w:left w:val="single" w:sz="12" w:space="0" w:color="000001"/>
              <w:bottom w:val="single" w:sz="4" w:space="0" w:color="00000A"/>
              <w:right w:val="single" w:sz="4" w:space="0" w:color="00000A"/>
              <w:insideH w:val="single" w:sz="4" w:space="0" w:color="00000A"/>
              <w:insideV w:val="single" w:sz="4" w:space="0" w:color="00000A"/>
            </w:tcBorders>
            <w:shd w:fill="auto" w:val="clear"/>
            <w:tcMar>
              <w:left w:w="55" w:type="dxa"/>
            </w:tcMar>
            <w:vAlign w:val="center"/>
          </w:tcPr>
          <w:p>
            <w:pPr>
              <w:pStyle w:val="Normal"/>
              <w:spacing w:before="0" w:after="160"/>
              <w:rPr>
                <w:rFonts w:eastAsia="Times New Roman" w:cs="Calibri"/>
                <w:lang w:eastAsia="pl-PL"/>
              </w:rPr>
            </w:pPr>
            <w:r>
              <w:rPr>
                <w:rFonts w:eastAsia="Times New Roman" w:cs="Calibri"/>
                <w:lang w:eastAsia="pl-PL"/>
              </w:rPr>
            </w:r>
          </w:p>
        </w:tc>
        <w:tc>
          <w:tcPr>
            <w:tcW w:w="2357" w:type="dxa"/>
            <w:vMerge w:val="continue"/>
            <w:tcBorders>
              <w:left w:val="single" w:sz="12" w:space="0" w:color="00000A"/>
              <w:bottom w:val="single" w:sz="4" w:space="0" w:color="00000A"/>
              <w:right w:val="single" w:sz="4" w:space="0" w:color="00000A"/>
              <w:insideH w:val="single" w:sz="4" w:space="0" w:color="00000A"/>
              <w:insideV w:val="single" w:sz="4" w:space="0" w:color="00000A"/>
            </w:tcBorders>
            <w:shd w:fill="auto" w:val="clear"/>
            <w:tcMar>
              <w:left w:w="55" w:type="dxa"/>
            </w:tcMar>
            <w:vAlign w:val="center"/>
          </w:tcPr>
          <w:p>
            <w:pPr>
              <w:pStyle w:val="Normal"/>
              <w:spacing w:before="0" w:after="160"/>
              <w:rPr>
                <w:rFonts w:eastAsia="Times New Roman" w:cs="Calibri"/>
                <w:lang w:eastAsia="pl-PL"/>
              </w:rPr>
            </w:pPr>
            <w:r>
              <w:rPr>
                <w:rFonts w:eastAsia="Times New Roman" w:cs="Calibri"/>
                <w:lang w:eastAsia="pl-PL"/>
              </w:rPr>
            </w:r>
          </w:p>
        </w:tc>
        <w:tc>
          <w:tcPr>
            <w:tcW w:w="150" w:type="dxa"/>
            <w:tcBorders/>
            <w:shd w:color="auto" w:fill="auto" w:val="clear"/>
            <w:vAlign w:val="bottom"/>
          </w:tcPr>
          <w:p>
            <w:pPr>
              <w:pStyle w:val="Normal"/>
              <w:spacing w:before="0" w:after="160"/>
              <w:jc w:val="center"/>
              <w:rPr>
                <w:rFonts w:eastAsia="Times New Roman" w:cs="Calibri"/>
                <w:lang w:eastAsia="pl-PL"/>
              </w:rPr>
            </w:pPr>
            <w:r>
              <w:rPr>
                <w:rFonts w:eastAsia="Times New Roman" w:cs="Calibri"/>
                <w:lang w:eastAsia="pl-PL"/>
              </w:rPr>
            </w:r>
          </w:p>
        </w:tc>
      </w:tr>
      <w:tr>
        <w:trPr>
          <w:trHeight w:val="305" w:hRule="atLeast"/>
        </w:trPr>
        <w:tc>
          <w:tcPr>
            <w:tcW w:w="843" w:type="dxa"/>
            <w:vMerge w:val="restart"/>
            <w:tcBorders>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5" w:type="dxa"/>
            </w:tcMar>
            <w:vAlign w:val="center"/>
          </w:tcPr>
          <w:p>
            <w:pPr>
              <w:pStyle w:val="Normal"/>
              <w:spacing w:before="0" w:after="160"/>
              <w:jc w:val="center"/>
              <w:rPr>
                <w:rFonts w:eastAsia="Times New Roman" w:cs="Calibri"/>
                <w:lang w:eastAsia="pl-PL"/>
              </w:rPr>
            </w:pPr>
            <w:r>
              <w:rPr>
                <w:rFonts w:eastAsia="Times New Roman" w:cs="Calibri"/>
                <w:lang w:eastAsia="pl-PL"/>
              </w:rPr>
              <w:t>2020</w:t>
            </w:r>
          </w:p>
        </w:tc>
        <w:tc>
          <w:tcPr>
            <w:tcW w:w="1212" w:type="dxa"/>
            <w:tcBorders>
              <w:bottom w:val="single" w:sz="4" w:space="0" w:color="00000A"/>
              <w:right w:val="single" w:sz="12" w:space="0" w:color="00000A"/>
              <w:insideH w:val="single" w:sz="4" w:space="0" w:color="00000A"/>
              <w:insideV w:val="single" w:sz="12" w:space="0" w:color="00000A"/>
            </w:tcBorders>
            <w:shd w:color="000000" w:fill="C6E0B4" w:val="clear"/>
            <w:vAlign w:val="center"/>
          </w:tcPr>
          <w:p>
            <w:pPr>
              <w:pStyle w:val="Normal"/>
              <w:spacing w:before="0" w:after="160"/>
              <w:jc w:val="center"/>
              <w:rPr>
                <w:rFonts w:eastAsia="Times New Roman" w:cs="Calibri"/>
                <w:lang w:eastAsia="pl-PL"/>
              </w:rPr>
            </w:pPr>
            <w:r>
              <w:rPr>
                <w:rFonts w:eastAsia="Times New Roman" w:cs="Calibri"/>
                <w:lang w:eastAsia="pl-PL"/>
              </w:rPr>
              <w:t>I półrocze</w:t>
            </w:r>
          </w:p>
        </w:tc>
        <w:tc>
          <w:tcPr>
            <w:tcW w:w="2357" w:type="dxa"/>
            <w:tcBorders>
              <w:bottom w:val="single" w:sz="4" w:space="0" w:color="00000A"/>
              <w:right w:val="single" w:sz="12" w:space="0" w:color="00000A"/>
              <w:insideH w:val="single" w:sz="4" w:space="0" w:color="00000A"/>
              <w:insideV w:val="single" w:sz="12" w:space="0" w:color="00000A"/>
            </w:tcBorders>
            <w:shd w:color="000000" w:fill="C6E0B4" w:val="clear"/>
            <w:vAlign w:val="center"/>
          </w:tcPr>
          <w:p>
            <w:pPr>
              <w:pStyle w:val="Normal"/>
              <w:spacing w:before="0" w:after="160"/>
              <w:jc w:val="center"/>
              <w:rPr>
                <w:rFonts w:eastAsia="Times New Roman" w:cs="Calibri"/>
                <w:lang w:eastAsia="pl-PL"/>
              </w:rPr>
            </w:pPr>
            <w:r>
              <w:rPr>
                <w:rFonts w:eastAsia="Times New Roman" w:cs="Calibri"/>
                <w:lang w:eastAsia="pl-PL"/>
              </w:rPr>
              <w:t>657</w:t>
            </w:r>
          </w:p>
        </w:tc>
        <w:tc>
          <w:tcPr>
            <w:tcW w:w="2358" w:type="dxa"/>
            <w:tcBorders>
              <w:bottom w:val="single" w:sz="4" w:space="0" w:color="00000A"/>
              <w:right w:val="single" w:sz="4" w:space="0" w:color="00000A"/>
              <w:insideH w:val="single" w:sz="4" w:space="0" w:color="00000A"/>
              <w:insideV w:val="single" w:sz="4" w:space="0" w:color="00000A"/>
            </w:tcBorders>
            <w:shd w:color="000000" w:fill="C6E0B4" w:val="clear"/>
            <w:vAlign w:val="center"/>
          </w:tcPr>
          <w:p>
            <w:pPr>
              <w:pStyle w:val="Normal"/>
              <w:spacing w:before="0" w:after="160"/>
              <w:jc w:val="center"/>
              <w:rPr>
                <w:rFonts w:eastAsia="Times New Roman" w:cs="Calibri"/>
                <w:lang w:eastAsia="pl-PL"/>
              </w:rPr>
            </w:pPr>
            <w:r>
              <w:rPr>
                <w:rFonts w:eastAsia="Times New Roman" w:cs="Calibri"/>
                <w:lang w:eastAsia="pl-PL"/>
              </w:rPr>
              <w:t>1332</w:t>
            </w:r>
          </w:p>
        </w:tc>
        <w:tc>
          <w:tcPr>
            <w:tcW w:w="2357" w:type="dxa"/>
            <w:tcBorders>
              <w:left w:val="single" w:sz="12" w:space="0" w:color="00000A"/>
              <w:bottom w:val="single" w:sz="4" w:space="0" w:color="00000A"/>
              <w:right w:val="single" w:sz="4" w:space="0" w:color="00000A"/>
              <w:insideH w:val="single" w:sz="4" w:space="0" w:color="00000A"/>
              <w:insideV w:val="single" w:sz="4" w:space="0" w:color="00000A"/>
            </w:tcBorders>
            <w:shd w:color="000000" w:fill="C6E0B4" w:val="clear"/>
            <w:tcMar>
              <w:left w:w="55" w:type="dxa"/>
            </w:tcMar>
            <w:vAlign w:val="center"/>
          </w:tcPr>
          <w:p>
            <w:pPr>
              <w:pStyle w:val="Normal"/>
              <w:spacing w:before="0" w:after="160"/>
              <w:jc w:val="center"/>
              <w:rPr>
                <w:rFonts w:eastAsia="Times New Roman" w:cs="Calibri"/>
                <w:lang w:eastAsia="pl-PL"/>
              </w:rPr>
            </w:pPr>
            <w:r>
              <w:rPr>
                <w:rFonts w:eastAsia="Times New Roman" w:cs="Calibri"/>
                <w:lang w:eastAsia="pl-PL"/>
              </w:rPr>
              <w:t>198 996</w:t>
            </w:r>
          </w:p>
        </w:tc>
        <w:tc>
          <w:tcPr>
            <w:tcW w:w="150" w:type="dxa"/>
            <w:tcBorders/>
            <w:shd w:fill="auto" w:val="clear"/>
            <w:vAlign w:val="center"/>
          </w:tcPr>
          <w:p>
            <w:pPr>
              <w:pStyle w:val="Normal"/>
              <w:spacing w:before="0" w:after="160"/>
              <w:rPr>
                <w:rFonts w:eastAsia="Times New Roman"/>
                <w:sz w:val="20"/>
                <w:szCs w:val="20"/>
                <w:lang w:eastAsia="pl-PL"/>
              </w:rPr>
            </w:pPr>
            <w:r>
              <w:rPr>
                <w:rFonts w:eastAsia="Times New Roman"/>
                <w:sz w:val="20"/>
                <w:szCs w:val="20"/>
                <w:lang w:eastAsia="pl-PL"/>
              </w:rPr>
            </w:r>
          </w:p>
        </w:tc>
      </w:tr>
      <w:tr>
        <w:trPr>
          <w:trHeight w:val="305" w:hRule="atLeast"/>
        </w:trPr>
        <w:tc>
          <w:tcPr>
            <w:tcW w:w="843" w:type="dxa"/>
            <w:vMerge w:val="continue"/>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center"/>
          </w:tcPr>
          <w:p>
            <w:pPr>
              <w:pStyle w:val="Normal"/>
              <w:spacing w:before="0" w:after="160"/>
              <w:rPr>
                <w:rFonts w:eastAsia="Times New Roman" w:cs="Calibri"/>
                <w:lang w:eastAsia="pl-PL"/>
              </w:rPr>
            </w:pPr>
            <w:r>
              <w:rPr>
                <w:rFonts w:eastAsia="Times New Roman" w:cs="Calibri"/>
                <w:lang w:eastAsia="pl-PL"/>
              </w:rPr>
            </w:r>
          </w:p>
        </w:tc>
        <w:tc>
          <w:tcPr>
            <w:tcW w:w="1212" w:type="dxa"/>
            <w:tcBorders>
              <w:bottom w:val="single" w:sz="4" w:space="0" w:color="00000A"/>
              <w:right w:val="single" w:sz="12" w:space="0" w:color="00000A"/>
              <w:insideH w:val="single" w:sz="4" w:space="0" w:color="00000A"/>
              <w:insideV w:val="single" w:sz="12" w:space="0" w:color="00000A"/>
            </w:tcBorders>
            <w:shd w:color="000000" w:fill="C6E0B4" w:val="clear"/>
            <w:vAlign w:val="center"/>
          </w:tcPr>
          <w:p>
            <w:pPr>
              <w:pStyle w:val="Normal"/>
              <w:spacing w:before="0" w:after="160"/>
              <w:jc w:val="center"/>
              <w:rPr>
                <w:rFonts w:eastAsia="Times New Roman" w:cs="Calibri"/>
                <w:lang w:eastAsia="pl-PL"/>
              </w:rPr>
            </w:pPr>
            <w:r>
              <w:rPr>
                <w:rFonts w:eastAsia="Times New Roman" w:cs="Calibri"/>
                <w:lang w:eastAsia="pl-PL"/>
              </w:rPr>
              <w:t>II półrocze</w:t>
            </w:r>
          </w:p>
        </w:tc>
        <w:tc>
          <w:tcPr>
            <w:tcW w:w="2357" w:type="dxa"/>
            <w:tcBorders>
              <w:bottom w:val="single" w:sz="4" w:space="0" w:color="00000A"/>
              <w:right w:val="single" w:sz="12" w:space="0" w:color="00000A"/>
              <w:insideH w:val="single" w:sz="4" w:space="0" w:color="00000A"/>
              <w:insideV w:val="single" w:sz="12" w:space="0" w:color="00000A"/>
            </w:tcBorders>
            <w:shd w:color="000000" w:fill="C6E0B4" w:val="clear"/>
            <w:vAlign w:val="center"/>
          </w:tcPr>
          <w:p>
            <w:pPr>
              <w:pStyle w:val="Normal"/>
              <w:spacing w:before="0" w:after="160"/>
              <w:jc w:val="center"/>
              <w:rPr>
                <w:rFonts w:eastAsia="Times New Roman" w:cs="Calibri"/>
                <w:lang w:eastAsia="pl-PL"/>
              </w:rPr>
            </w:pPr>
            <w:r>
              <w:rPr>
                <w:rFonts w:eastAsia="Times New Roman" w:cs="Calibri"/>
                <w:lang w:eastAsia="pl-PL"/>
              </w:rPr>
              <w:t>703</w:t>
            </w:r>
          </w:p>
        </w:tc>
        <w:tc>
          <w:tcPr>
            <w:tcW w:w="2358" w:type="dxa"/>
            <w:tcBorders>
              <w:bottom w:val="single" w:sz="4" w:space="0" w:color="00000A"/>
              <w:right w:val="single" w:sz="4" w:space="0" w:color="00000A"/>
              <w:insideH w:val="single" w:sz="4" w:space="0" w:color="00000A"/>
              <w:insideV w:val="single" w:sz="4" w:space="0" w:color="00000A"/>
            </w:tcBorders>
            <w:shd w:color="000000" w:fill="C6E0B4" w:val="clear"/>
            <w:vAlign w:val="center"/>
          </w:tcPr>
          <w:p>
            <w:pPr>
              <w:pStyle w:val="Normal"/>
              <w:spacing w:before="0" w:after="160"/>
              <w:jc w:val="center"/>
              <w:rPr>
                <w:rFonts w:eastAsia="Times New Roman" w:cs="Calibri"/>
                <w:lang w:eastAsia="pl-PL"/>
              </w:rPr>
            </w:pPr>
            <w:r>
              <w:rPr>
                <w:rFonts w:eastAsia="Times New Roman" w:cs="Calibri"/>
                <w:lang w:eastAsia="pl-PL"/>
              </w:rPr>
              <w:t>1563</w:t>
            </w:r>
          </w:p>
        </w:tc>
        <w:tc>
          <w:tcPr>
            <w:tcW w:w="2357" w:type="dxa"/>
            <w:tcBorders>
              <w:left w:val="single" w:sz="12" w:space="0" w:color="00000A"/>
              <w:bottom w:val="single" w:sz="4" w:space="0" w:color="00000A"/>
              <w:right w:val="single" w:sz="4" w:space="0" w:color="00000A"/>
              <w:insideH w:val="single" w:sz="4" w:space="0" w:color="00000A"/>
              <w:insideV w:val="single" w:sz="4" w:space="0" w:color="00000A"/>
            </w:tcBorders>
            <w:shd w:color="000000" w:fill="C6E0B4" w:val="clear"/>
            <w:tcMar>
              <w:left w:w="55" w:type="dxa"/>
            </w:tcMar>
            <w:vAlign w:val="center"/>
          </w:tcPr>
          <w:p>
            <w:pPr>
              <w:pStyle w:val="Normal"/>
              <w:spacing w:before="0" w:after="160"/>
              <w:jc w:val="center"/>
              <w:rPr>
                <w:rFonts w:eastAsia="Times New Roman" w:cs="Calibri"/>
                <w:lang w:eastAsia="pl-PL"/>
              </w:rPr>
            </w:pPr>
            <w:r>
              <w:rPr>
                <w:rFonts w:eastAsia="Times New Roman" w:cs="Calibri"/>
                <w:lang w:eastAsia="pl-PL"/>
              </w:rPr>
              <w:t>197 586</w:t>
            </w:r>
          </w:p>
        </w:tc>
        <w:tc>
          <w:tcPr>
            <w:tcW w:w="150" w:type="dxa"/>
            <w:tcBorders/>
            <w:shd w:fill="auto" w:val="clear"/>
            <w:vAlign w:val="center"/>
          </w:tcPr>
          <w:p>
            <w:pPr>
              <w:pStyle w:val="Normal"/>
              <w:spacing w:before="0" w:after="160"/>
              <w:rPr>
                <w:rFonts w:eastAsia="Times New Roman"/>
                <w:sz w:val="20"/>
                <w:szCs w:val="20"/>
                <w:lang w:eastAsia="pl-PL"/>
              </w:rPr>
            </w:pPr>
            <w:r>
              <w:rPr>
                <w:rFonts w:eastAsia="Times New Roman"/>
                <w:sz w:val="20"/>
                <w:szCs w:val="20"/>
                <w:lang w:eastAsia="pl-PL"/>
              </w:rPr>
            </w:r>
          </w:p>
        </w:tc>
      </w:tr>
      <w:tr>
        <w:trPr>
          <w:trHeight w:val="305" w:hRule="atLeast"/>
        </w:trPr>
        <w:tc>
          <w:tcPr>
            <w:tcW w:w="2055" w:type="dxa"/>
            <w:gridSpan w:val="2"/>
            <w:tcBorders>
              <w:top w:val="single" w:sz="4" w:space="0" w:color="00000A"/>
              <w:left w:val="single" w:sz="4" w:space="0" w:color="00000A"/>
              <w:bottom w:val="single" w:sz="4" w:space="0" w:color="00000A"/>
              <w:right w:val="single" w:sz="12" w:space="0" w:color="000001"/>
              <w:insideH w:val="single" w:sz="4" w:space="0" w:color="00000A"/>
              <w:insideV w:val="single" w:sz="12" w:space="0" w:color="000001"/>
            </w:tcBorders>
            <w:shd w:color="000000" w:fill="BDD7EE" w:val="clear"/>
            <w:tcMar>
              <w:left w:w="65" w:type="dxa"/>
            </w:tcMar>
            <w:vAlign w:val="center"/>
          </w:tcPr>
          <w:p>
            <w:pPr>
              <w:pStyle w:val="Normal"/>
              <w:spacing w:before="0" w:after="160"/>
              <w:jc w:val="center"/>
              <w:rPr>
                <w:rFonts w:eastAsia="Times New Roman" w:cs="Calibri"/>
                <w:lang w:eastAsia="pl-PL"/>
              </w:rPr>
            </w:pPr>
            <w:r>
              <w:rPr>
                <w:rFonts w:eastAsia="Times New Roman" w:cs="Calibri"/>
                <w:lang w:eastAsia="pl-PL"/>
              </w:rPr>
              <w:t>Dane na koniec roku 2020</w:t>
            </w:r>
          </w:p>
        </w:tc>
        <w:tc>
          <w:tcPr>
            <w:tcW w:w="2357" w:type="dxa"/>
            <w:tcBorders>
              <w:bottom w:val="single" w:sz="4" w:space="0" w:color="00000A"/>
              <w:right w:val="single" w:sz="12" w:space="0" w:color="00000A"/>
              <w:insideH w:val="single" w:sz="4" w:space="0" w:color="00000A"/>
              <w:insideV w:val="single" w:sz="12" w:space="0" w:color="00000A"/>
            </w:tcBorders>
            <w:shd w:color="000000" w:fill="BDD7EE" w:val="clear"/>
            <w:vAlign w:val="center"/>
          </w:tcPr>
          <w:p>
            <w:pPr>
              <w:pStyle w:val="Normal"/>
              <w:spacing w:before="0" w:after="160"/>
              <w:jc w:val="center"/>
              <w:rPr>
                <w:rFonts w:eastAsia="Times New Roman" w:cs="Calibri"/>
                <w:lang w:eastAsia="pl-PL"/>
              </w:rPr>
            </w:pPr>
            <w:r>
              <w:rPr>
                <w:rFonts w:eastAsia="Times New Roman" w:cs="Calibri"/>
                <w:lang w:eastAsia="pl-PL"/>
              </w:rPr>
              <w:t>1360</w:t>
            </w:r>
          </w:p>
        </w:tc>
        <w:tc>
          <w:tcPr>
            <w:tcW w:w="2358" w:type="dxa"/>
            <w:tcBorders>
              <w:bottom w:val="single" w:sz="4" w:space="0" w:color="00000A"/>
              <w:right w:val="single" w:sz="4" w:space="0" w:color="00000A"/>
              <w:insideH w:val="single" w:sz="4" w:space="0" w:color="00000A"/>
              <w:insideV w:val="single" w:sz="4" w:space="0" w:color="00000A"/>
            </w:tcBorders>
            <w:shd w:color="000000" w:fill="BDD7EE" w:val="clear"/>
            <w:vAlign w:val="center"/>
          </w:tcPr>
          <w:p>
            <w:pPr>
              <w:pStyle w:val="Normal"/>
              <w:spacing w:before="0" w:after="160"/>
              <w:jc w:val="center"/>
              <w:rPr>
                <w:rFonts w:eastAsia="Times New Roman" w:cs="Calibri"/>
                <w:lang w:eastAsia="pl-PL"/>
              </w:rPr>
            </w:pPr>
            <w:r>
              <w:rPr>
                <w:rFonts w:eastAsia="Times New Roman" w:cs="Calibri"/>
                <w:lang w:eastAsia="pl-PL"/>
              </w:rPr>
              <w:t>2895</w:t>
            </w:r>
          </w:p>
        </w:tc>
        <w:tc>
          <w:tcPr>
            <w:tcW w:w="2357" w:type="dxa"/>
            <w:tcBorders>
              <w:left w:val="single" w:sz="12" w:space="0" w:color="00000A"/>
              <w:bottom w:val="single" w:sz="4" w:space="0" w:color="00000A"/>
              <w:right w:val="single" w:sz="4" w:space="0" w:color="00000A"/>
              <w:insideH w:val="single" w:sz="4" w:space="0" w:color="00000A"/>
              <w:insideV w:val="single" w:sz="4" w:space="0" w:color="00000A"/>
            </w:tcBorders>
            <w:shd w:color="000000" w:fill="BDD7EE" w:val="clear"/>
            <w:tcMar>
              <w:left w:w="55" w:type="dxa"/>
            </w:tcMar>
            <w:vAlign w:val="center"/>
          </w:tcPr>
          <w:p>
            <w:pPr>
              <w:pStyle w:val="Normal"/>
              <w:spacing w:before="0" w:after="160"/>
              <w:jc w:val="center"/>
              <w:rPr>
                <w:rFonts w:eastAsia="Times New Roman" w:cs="Calibri"/>
                <w:lang w:eastAsia="pl-PL"/>
              </w:rPr>
            </w:pPr>
            <w:r>
              <w:rPr>
                <w:rFonts w:eastAsia="Times New Roman" w:cs="Calibri"/>
                <w:lang w:eastAsia="pl-PL"/>
              </w:rPr>
              <w:t>197 586</w:t>
            </w:r>
          </w:p>
        </w:tc>
        <w:tc>
          <w:tcPr>
            <w:tcW w:w="150" w:type="dxa"/>
            <w:tcBorders/>
            <w:shd w:fill="auto" w:val="clear"/>
            <w:vAlign w:val="center"/>
          </w:tcPr>
          <w:p>
            <w:pPr>
              <w:pStyle w:val="Normal"/>
              <w:spacing w:before="0" w:after="160"/>
              <w:rPr>
                <w:rFonts w:eastAsia="Times New Roman"/>
                <w:sz w:val="20"/>
                <w:szCs w:val="20"/>
                <w:lang w:eastAsia="pl-PL"/>
              </w:rPr>
            </w:pPr>
            <w:r>
              <w:rPr>
                <w:rFonts w:eastAsia="Times New Roman"/>
                <w:sz w:val="20"/>
                <w:szCs w:val="20"/>
                <w:lang w:eastAsia="pl-PL"/>
              </w:rPr>
            </w:r>
          </w:p>
        </w:tc>
      </w:tr>
      <w:tr>
        <w:trPr>
          <w:trHeight w:val="305" w:hRule="atLeast"/>
        </w:trPr>
        <w:tc>
          <w:tcPr>
            <w:tcW w:w="843" w:type="dxa"/>
            <w:vMerge w:val="restart"/>
            <w:tcBorders>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5" w:type="dxa"/>
            </w:tcMar>
            <w:vAlign w:val="center"/>
          </w:tcPr>
          <w:p>
            <w:pPr>
              <w:pStyle w:val="Normal"/>
              <w:spacing w:before="0" w:after="160"/>
              <w:jc w:val="center"/>
              <w:rPr>
                <w:rFonts w:eastAsia="Times New Roman" w:cs="Calibri"/>
                <w:lang w:eastAsia="pl-PL"/>
              </w:rPr>
            </w:pPr>
            <w:r>
              <w:rPr>
                <w:rFonts w:eastAsia="Times New Roman" w:cs="Calibri"/>
                <w:lang w:eastAsia="pl-PL"/>
              </w:rPr>
              <w:t>2021</w:t>
            </w:r>
          </w:p>
        </w:tc>
        <w:tc>
          <w:tcPr>
            <w:tcW w:w="1212" w:type="dxa"/>
            <w:tcBorders>
              <w:bottom w:val="single" w:sz="4" w:space="0" w:color="00000A"/>
              <w:right w:val="single" w:sz="12" w:space="0" w:color="00000A"/>
              <w:insideH w:val="single" w:sz="4" w:space="0" w:color="00000A"/>
              <w:insideV w:val="single" w:sz="12" w:space="0" w:color="00000A"/>
            </w:tcBorders>
            <w:shd w:color="000000" w:fill="C6E0B4" w:val="clear"/>
            <w:vAlign w:val="center"/>
          </w:tcPr>
          <w:p>
            <w:pPr>
              <w:pStyle w:val="Normal"/>
              <w:spacing w:before="0" w:after="160"/>
              <w:jc w:val="center"/>
              <w:rPr>
                <w:rFonts w:eastAsia="Times New Roman" w:cs="Calibri"/>
                <w:lang w:eastAsia="pl-PL"/>
              </w:rPr>
            </w:pPr>
            <w:r>
              <w:rPr>
                <w:rFonts w:eastAsia="Times New Roman" w:cs="Calibri"/>
                <w:lang w:eastAsia="pl-PL"/>
              </w:rPr>
              <w:t>I półrocze</w:t>
            </w:r>
          </w:p>
        </w:tc>
        <w:tc>
          <w:tcPr>
            <w:tcW w:w="2357" w:type="dxa"/>
            <w:tcBorders>
              <w:bottom w:val="single" w:sz="4" w:space="0" w:color="00000A"/>
              <w:right w:val="single" w:sz="12" w:space="0" w:color="00000A"/>
              <w:insideH w:val="single" w:sz="4" w:space="0" w:color="00000A"/>
              <w:insideV w:val="single" w:sz="12" w:space="0" w:color="00000A"/>
            </w:tcBorders>
            <w:shd w:color="000000" w:fill="C6E0B4" w:val="clear"/>
            <w:vAlign w:val="center"/>
          </w:tcPr>
          <w:p>
            <w:pPr>
              <w:pStyle w:val="Normal"/>
              <w:spacing w:before="0" w:after="160"/>
              <w:jc w:val="center"/>
              <w:rPr>
                <w:rFonts w:eastAsia="Times New Roman" w:cs="Calibri"/>
                <w:lang w:eastAsia="pl-PL"/>
              </w:rPr>
            </w:pPr>
            <w:r>
              <w:rPr>
                <w:rFonts w:eastAsia="Times New Roman" w:cs="Calibri"/>
                <w:lang w:eastAsia="pl-PL"/>
              </w:rPr>
              <w:t>649</w:t>
            </w:r>
          </w:p>
        </w:tc>
        <w:tc>
          <w:tcPr>
            <w:tcW w:w="2358" w:type="dxa"/>
            <w:tcBorders>
              <w:bottom w:val="single" w:sz="4" w:space="0" w:color="00000A"/>
              <w:right w:val="single" w:sz="4" w:space="0" w:color="00000A"/>
              <w:insideH w:val="single" w:sz="4" w:space="0" w:color="00000A"/>
              <w:insideV w:val="single" w:sz="4" w:space="0" w:color="00000A"/>
            </w:tcBorders>
            <w:shd w:color="000000" w:fill="C6E0B4" w:val="clear"/>
            <w:vAlign w:val="center"/>
          </w:tcPr>
          <w:p>
            <w:pPr>
              <w:pStyle w:val="Normal"/>
              <w:spacing w:before="0" w:after="160"/>
              <w:jc w:val="center"/>
              <w:rPr>
                <w:rFonts w:eastAsia="Times New Roman" w:cs="Calibri"/>
                <w:lang w:eastAsia="pl-PL"/>
              </w:rPr>
            </w:pPr>
            <w:r>
              <w:rPr>
                <w:rFonts w:eastAsia="Times New Roman" w:cs="Calibri"/>
                <w:lang w:eastAsia="pl-PL"/>
              </w:rPr>
              <w:t>1812</w:t>
            </w:r>
          </w:p>
        </w:tc>
        <w:tc>
          <w:tcPr>
            <w:tcW w:w="2357" w:type="dxa"/>
            <w:tcBorders>
              <w:left w:val="single" w:sz="12" w:space="0" w:color="00000A"/>
              <w:bottom w:val="single" w:sz="4" w:space="0" w:color="00000A"/>
              <w:right w:val="single" w:sz="4" w:space="0" w:color="00000A"/>
              <w:insideH w:val="single" w:sz="4" w:space="0" w:color="00000A"/>
              <w:insideV w:val="single" w:sz="4" w:space="0" w:color="00000A"/>
            </w:tcBorders>
            <w:shd w:color="000000" w:fill="C6E0B4" w:val="clear"/>
            <w:tcMar>
              <w:left w:w="55" w:type="dxa"/>
            </w:tcMar>
            <w:vAlign w:val="center"/>
          </w:tcPr>
          <w:p>
            <w:pPr>
              <w:pStyle w:val="Normal"/>
              <w:spacing w:before="0" w:after="160"/>
              <w:jc w:val="center"/>
              <w:rPr>
                <w:rFonts w:eastAsia="Times New Roman" w:cs="Calibri"/>
                <w:lang w:eastAsia="pl-PL"/>
              </w:rPr>
            </w:pPr>
            <w:r>
              <w:rPr>
                <w:rFonts w:eastAsia="Times New Roman" w:cs="Calibri"/>
                <w:lang w:eastAsia="pl-PL"/>
              </w:rPr>
              <w:t>195 978</w:t>
            </w:r>
          </w:p>
        </w:tc>
        <w:tc>
          <w:tcPr>
            <w:tcW w:w="150" w:type="dxa"/>
            <w:tcBorders/>
            <w:shd w:fill="auto" w:val="clear"/>
            <w:vAlign w:val="center"/>
          </w:tcPr>
          <w:p>
            <w:pPr>
              <w:pStyle w:val="Normal"/>
              <w:spacing w:before="0" w:after="160"/>
              <w:rPr>
                <w:rFonts w:eastAsia="Times New Roman"/>
                <w:sz w:val="20"/>
                <w:szCs w:val="20"/>
                <w:lang w:eastAsia="pl-PL"/>
              </w:rPr>
            </w:pPr>
            <w:r>
              <w:rPr>
                <w:rFonts w:eastAsia="Times New Roman"/>
                <w:sz w:val="20"/>
                <w:szCs w:val="20"/>
                <w:lang w:eastAsia="pl-PL"/>
              </w:rPr>
            </w:r>
          </w:p>
        </w:tc>
      </w:tr>
      <w:tr>
        <w:trPr>
          <w:trHeight w:val="305" w:hRule="atLeast"/>
        </w:trPr>
        <w:tc>
          <w:tcPr>
            <w:tcW w:w="843" w:type="dxa"/>
            <w:vMerge w:val="continue"/>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center"/>
          </w:tcPr>
          <w:p>
            <w:pPr>
              <w:pStyle w:val="Normal"/>
              <w:spacing w:before="0" w:after="160"/>
              <w:rPr>
                <w:rFonts w:eastAsia="Times New Roman" w:cs="Calibri"/>
                <w:lang w:eastAsia="pl-PL"/>
              </w:rPr>
            </w:pPr>
            <w:r>
              <w:rPr>
                <w:rFonts w:eastAsia="Times New Roman" w:cs="Calibri"/>
                <w:lang w:eastAsia="pl-PL"/>
              </w:rPr>
            </w:r>
          </w:p>
        </w:tc>
        <w:tc>
          <w:tcPr>
            <w:tcW w:w="1212" w:type="dxa"/>
            <w:tcBorders>
              <w:bottom w:val="single" w:sz="4" w:space="0" w:color="00000A"/>
              <w:right w:val="single" w:sz="12" w:space="0" w:color="00000A"/>
              <w:insideH w:val="single" w:sz="4" w:space="0" w:color="00000A"/>
              <w:insideV w:val="single" w:sz="12" w:space="0" w:color="00000A"/>
            </w:tcBorders>
            <w:shd w:color="000000" w:fill="C6E0B4" w:val="clear"/>
            <w:vAlign w:val="center"/>
          </w:tcPr>
          <w:p>
            <w:pPr>
              <w:pStyle w:val="Normal"/>
              <w:spacing w:before="0" w:after="160"/>
              <w:jc w:val="center"/>
              <w:rPr>
                <w:rFonts w:eastAsia="Times New Roman" w:cs="Calibri"/>
                <w:lang w:eastAsia="pl-PL"/>
              </w:rPr>
            </w:pPr>
            <w:r>
              <w:rPr>
                <w:rFonts w:eastAsia="Times New Roman" w:cs="Calibri"/>
                <w:lang w:eastAsia="pl-PL"/>
              </w:rPr>
              <w:t>II półrocze</w:t>
            </w:r>
          </w:p>
        </w:tc>
        <w:tc>
          <w:tcPr>
            <w:tcW w:w="2357" w:type="dxa"/>
            <w:tcBorders>
              <w:bottom w:val="single" w:sz="4" w:space="0" w:color="00000A"/>
              <w:right w:val="single" w:sz="12" w:space="0" w:color="00000A"/>
              <w:insideH w:val="single" w:sz="4" w:space="0" w:color="00000A"/>
              <w:insideV w:val="single" w:sz="12" w:space="0" w:color="00000A"/>
            </w:tcBorders>
            <w:shd w:color="000000" w:fill="C6E0B4" w:val="clear"/>
            <w:vAlign w:val="center"/>
          </w:tcPr>
          <w:p>
            <w:pPr>
              <w:pStyle w:val="Normal"/>
              <w:spacing w:before="0" w:after="160"/>
              <w:jc w:val="center"/>
              <w:rPr>
                <w:rFonts w:eastAsia="Times New Roman" w:cs="Calibri"/>
                <w:lang w:eastAsia="pl-PL"/>
              </w:rPr>
            </w:pPr>
            <w:r>
              <w:rPr>
                <w:rFonts w:eastAsia="Times New Roman" w:cs="Calibri"/>
                <w:lang w:eastAsia="pl-PL"/>
              </w:rPr>
              <w:t>b.d.</w:t>
            </w:r>
          </w:p>
        </w:tc>
        <w:tc>
          <w:tcPr>
            <w:tcW w:w="2358" w:type="dxa"/>
            <w:tcBorders>
              <w:bottom w:val="single" w:sz="4" w:space="0" w:color="00000A"/>
              <w:right w:val="single" w:sz="4" w:space="0" w:color="00000A"/>
              <w:insideH w:val="single" w:sz="4" w:space="0" w:color="00000A"/>
              <w:insideV w:val="single" w:sz="4" w:space="0" w:color="00000A"/>
            </w:tcBorders>
            <w:shd w:color="000000" w:fill="C6E0B4" w:val="clear"/>
            <w:vAlign w:val="center"/>
          </w:tcPr>
          <w:p>
            <w:pPr>
              <w:pStyle w:val="Normal"/>
              <w:spacing w:before="0" w:after="160"/>
              <w:jc w:val="center"/>
              <w:rPr>
                <w:rFonts w:eastAsia="Times New Roman" w:cs="Calibri"/>
                <w:lang w:eastAsia="pl-PL"/>
              </w:rPr>
            </w:pPr>
            <w:r>
              <w:rPr>
                <w:rFonts w:eastAsia="Times New Roman" w:cs="Calibri"/>
                <w:lang w:eastAsia="pl-PL"/>
              </w:rPr>
              <w:t>b.d.</w:t>
            </w:r>
          </w:p>
        </w:tc>
        <w:tc>
          <w:tcPr>
            <w:tcW w:w="2357" w:type="dxa"/>
            <w:tcBorders>
              <w:left w:val="single" w:sz="12" w:space="0" w:color="00000A"/>
              <w:bottom w:val="single" w:sz="4" w:space="0" w:color="00000A"/>
              <w:right w:val="single" w:sz="4" w:space="0" w:color="00000A"/>
              <w:insideH w:val="single" w:sz="4" w:space="0" w:color="00000A"/>
              <w:insideV w:val="single" w:sz="4" w:space="0" w:color="00000A"/>
            </w:tcBorders>
            <w:shd w:color="000000" w:fill="C6E0B4" w:val="clear"/>
            <w:tcMar>
              <w:left w:w="55" w:type="dxa"/>
            </w:tcMar>
            <w:vAlign w:val="center"/>
          </w:tcPr>
          <w:p>
            <w:pPr>
              <w:pStyle w:val="Normal"/>
              <w:spacing w:before="0" w:after="160"/>
              <w:jc w:val="center"/>
              <w:rPr>
                <w:rFonts w:eastAsia="Times New Roman" w:cs="Calibri"/>
                <w:lang w:eastAsia="pl-PL"/>
              </w:rPr>
            </w:pPr>
            <w:r>
              <w:rPr>
                <w:rFonts w:eastAsia="Times New Roman" w:cs="Calibri"/>
                <w:lang w:eastAsia="pl-PL"/>
              </w:rPr>
              <w:t>b.d.</w:t>
            </w:r>
          </w:p>
        </w:tc>
        <w:tc>
          <w:tcPr>
            <w:tcW w:w="150" w:type="dxa"/>
            <w:tcBorders/>
            <w:shd w:fill="auto" w:val="clear"/>
            <w:vAlign w:val="center"/>
          </w:tcPr>
          <w:p>
            <w:pPr>
              <w:pStyle w:val="Normal"/>
              <w:spacing w:before="0" w:after="160"/>
              <w:rPr>
                <w:rFonts w:eastAsia="Times New Roman"/>
                <w:sz w:val="20"/>
                <w:szCs w:val="20"/>
                <w:lang w:eastAsia="pl-PL"/>
              </w:rPr>
            </w:pPr>
            <w:r>
              <w:rPr>
                <w:rFonts w:eastAsia="Times New Roman"/>
                <w:sz w:val="20"/>
                <w:szCs w:val="20"/>
                <w:lang w:eastAsia="pl-PL"/>
              </w:rPr>
            </w:r>
          </w:p>
        </w:tc>
      </w:tr>
      <w:tr>
        <w:trPr>
          <w:trHeight w:val="305" w:hRule="atLeast"/>
        </w:trPr>
        <w:tc>
          <w:tcPr>
            <w:tcW w:w="2055" w:type="dxa"/>
            <w:gridSpan w:val="2"/>
            <w:tcBorders>
              <w:top w:val="single" w:sz="4" w:space="0" w:color="00000A"/>
              <w:left w:val="single" w:sz="4" w:space="0" w:color="00000A"/>
              <w:bottom w:val="single" w:sz="4" w:space="0" w:color="00000A"/>
              <w:right w:val="single" w:sz="12" w:space="0" w:color="000001"/>
              <w:insideH w:val="single" w:sz="4" w:space="0" w:color="00000A"/>
              <w:insideV w:val="single" w:sz="12" w:space="0" w:color="000001"/>
            </w:tcBorders>
            <w:shd w:color="000000" w:fill="BDD7EE" w:val="clear"/>
            <w:tcMar>
              <w:left w:w="65" w:type="dxa"/>
            </w:tcMar>
            <w:vAlign w:val="center"/>
          </w:tcPr>
          <w:p>
            <w:pPr>
              <w:pStyle w:val="Normal"/>
              <w:spacing w:before="0" w:after="160"/>
              <w:jc w:val="center"/>
              <w:rPr>
                <w:rFonts w:eastAsia="Times New Roman" w:cs="Calibri"/>
                <w:lang w:eastAsia="pl-PL"/>
              </w:rPr>
            </w:pPr>
            <w:r>
              <w:rPr>
                <w:rFonts w:eastAsia="Times New Roman" w:cs="Calibri"/>
                <w:lang w:eastAsia="pl-PL"/>
              </w:rPr>
              <w:t>Dane na koniec roku 2021</w:t>
            </w:r>
          </w:p>
        </w:tc>
        <w:tc>
          <w:tcPr>
            <w:tcW w:w="2357" w:type="dxa"/>
            <w:tcBorders>
              <w:bottom w:val="single" w:sz="4" w:space="0" w:color="00000A"/>
              <w:right w:val="single" w:sz="12" w:space="0" w:color="00000A"/>
              <w:insideH w:val="single" w:sz="4" w:space="0" w:color="00000A"/>
              <w:insideV w:val="single" w:sz="12" w:space="0" w:color="00000A"/>
            </w:tcBorders>
            <w:shd w:color="000000" w:fill="BDD7EE" w:val="clear"/>
            <w:vAlign w:val="center"/>
          </w:tcPr>
          <w:p>
            <w:pPr>
              <w:pStyle w:val="Normal"/>
              <w:spacing w:before="0" w:after="160"/>
              <w:jc w:val="center"/>
              <w:rPr>
                <w:rFonts w:eastAsia="Times New Roman" w:cs="Calibri"/>
                <w:lang w:eastAsia="pl-PL"/>
              </w:rPr>
            </w:pPr>
            <w:r>
              <w:rPr>
                <w:rFonts w:eastAsia="Times New Roman" w:cs="Calibri"/>
                <w:lang w:eastAsia="pl-PL"/>
              </w:rPr>
              <w:t>b.d.</w:t>
            </w:r>
          </w:p>
        </w:tc>
        <w:tc>
          <w:tcPr>
            <w:tcW w:w="2358" w:type="dxa"/>
            <w:tcBorders>
              <w:bottom w:val="single" w:sz="4" w:space="0" w:color="00000A"/>
              <w:right w:val="single" w:sz="4" w:space="0" w:color="00000A"/>
              <w:insideH w:val="single" w:sz="4" w:space="0" w:color="00000A"/>
              <w:insideV w:val="single" w:sz="4" w:space="0" w:color="00000A"/>
            </w:tcBorders>
            <w:shd w:color="000000" w:fill="BDD7EE" w:val="clear"/>
            <w:vAlign w:val="center"/>
          </w:tcPr>
          <w:p>
            <w:pPr>
              <w:pStyle w:val="Normal"/>
              <w:spacing w:before="0" w:after="160"/>
              <w:jc w:val="center"/>
              <w:rPr>
                <w:rFonts w:eastAsia="Times New Roman" w:cs="Calibri"/>
                <w:lang w:eastAsia="pl-PL"/>
              </w:rPr>
            </w:pPr>
            <w:r>
              <w:rPr>
                <w:rFonts w:eastAsia="Times New Roman" w:cs="Calibri"/>
                <w:lang w:eastAsia="pl-PL"/>
              </w:rPr>
              <w:t>b.d.</w:t>
            </w:r>
          </w:p>
        </w:tc>
        <w:tc>
          <w:tcPr>
            <w:tcW w:w="2357" w:type="dxa"/>
            <w:tcBorders>
              <w:left w:val="single" w:sz="12" w:space="0" w:color="00000A"/>
              <w:bottom w:val="single" w:sz="4" w:space="0" w:color="00000A"/>
              <w:right w:val="single" w:sz="4" w:space="0" w:color="00000A"/>
              <w:insideH w:val="single" w:sz="4" w:space="0" w:color="00000A"/>
              <w:insideV w:val="single" w:sz="4" w:space="0" w:color="00000A"/>
            </w:tcBorders>
            <w:shd w:color="000000" w:fill="BDD7EE" w:val="clear"/>
            <w:tcMar>
              <w:left w:w="55" w:type="dxa"/>
            </w:tcMar>
            <w:vAlign w:val="center"/>
          </w:tcPr>
          <w:p>
            <w:pPr>
              <w:pStyle w:val="Normal"/>
              <w:spacing w:before="0" w:after="160"/>
              <w:jc w:val="center"/>
              <w:rPr>
                <w:rFonts w:eastAsia="Times New Roman" w:cs="Calibri"/>
                <w:lang w:eastAsia="pl-PL"/>
              </w:rPr>
            </w:pPr>
            <w:r>
              <w:rPr>
                <w:rFonts w:eastAsia="Times New Roman" w:cs="Calibri"/>
                <w:lang w:eastAsia="pl-PL"/>
              </w:rPr>
              <w:t>b.d.</w:t>
            </w:r>
          </w:p>
        </w:tc>
        <w:tc>
          <w:tcPr>
            <w:tcW w:w="150" w:type="dxa"/>
            <w:tcBorders/>
            <w:shd w:fill="auto" w:val="clear"/>
            <w:vAlign w:val="center"/>
          </w:tcPr>
          <w:p>
            <w:pPr>
              <w:pStyle w:val="Normal"/>
              <w:spacing w:before="0" w:after="160"/>
              <w:rPr>
                <w:rFonts w:eastAsia="Times New Roman"/>
                <w:sz w:val="20"/>
                <w:szCs w:val="20"/>
                <w:lang w:eastAsia="pl-PL"/>
              </w:rPr>
            </w:pPr>
            <w:r>
              <w:rPr>
                <w:rFonts w:eastAsia="Times New Roman"/>
                <w:sz w:val="20"/>
                <w:szCs w:val="20"/>
                <w:lang w:eastAsia="pl-PL"/>
              </w:rPr>
            </w:r>
          </w:p>
        </w:tc>
      </w:tr>
    </w:tbl>
    <w:p>
      <w:pPr>
        <w:pStyle w:val="Normal"/>
        <w:rPr/>
      </w:pPr>
      <w:r>
        <w:rPr/>
      </w:r>
    </w:p>
    <w:p>
      <w:pPr>
        <w:pStyle w:val="Normal"/>
        <w:jc w:val="both"/>
        <w:rPr/>
      </w:pPr>
      <w:r>
        <w:rPr/>
      </w:r>
    </w:p>
    <w:p>
      <w:pPr>
        <w:pStyle w:val="Normal"/>
        <w:jc w:val="both"/>
        <w:rPr/>
      </w:pPr>
      <w:r>
        <w:rPr/>
        <w:t>Niezwykle istotna jest również analiza wpływu procesów depopulacji na kształtowanie się grup wiekowych ludności oraz piramidę wieku. Z przedstawionych poniżej danych widać wyraźnie, że Sosnowiec ma największy wśród miast ościennych wskazanych w tabeli problem z malejącą liczbą osób w wieku produkcyjnym, a tym samym z rosnącą grupą seniorów, którzy na rynku pracy przestają pełnić rolę dominującą, ale nie powinni być z niego skreślani. Silver economy to nie tylko ukierunkowanie gospodarki na potrzeby osób starszych, ale niejako wciągnięcie ich w te mechanizmy, uwzględniając ich ograniczenia, ale i ogromne doświadczenie.</w:t>
      </w:r>
    </w:p>
    <w:p>
      <w:pPr>
        <w:pStyle w:val="Normal"/>
        <w:rPr>
          <w:rFonts w:ascii="Calibri" w:hAnsi="Calibri" w:cs="Calibri" w:asciiTheme="minorHAnsi" w:cstheme="minorHAnsi" w:hAnsiTheme="minorHAnsi"/>
          <w:sz w:val="18"/>
          <w:szCs w:val="18"/>
        </w:rPr>
      </w:pPr>
      <w:r>
        <w:rPr/>
        <w:drawing>
          <wp:inline distT="0" distB="0" distL="0" distR="0">
            <wp:extent cx="5760720" cy="1405890"/>
            <wp:effectExtent l="0" t="0" r="0" b="0"/>
            <wp:docPr id="4" name="Obraz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5" descr=""/>
                    <pic:cNvPicPr>
                      <a:picLocks noChangeAspect="1" noChangeArrowheads="1"/>
                    </pic:cNvPicPr>
                  </pic:nvPicPr>
                  <pic:blipFill>
                    <a:blip r:embed="rId5"/>
                    <a:stretch>
                      <a:fillRect/>
                    </a:stretch>
                  </pic:blipFill>
                  <pic:spPr bwMode="auto">
                    <a:xfrm>
                      <a:off x="0" y="0"/>
                      <a:ext cx="5760720" cy="1405890"/>
                    </a:xfrm>
                    <a:prstGeom prst="rect">
                      <a:avLst/>
                    </a:prstGeom>
                  </pic:spPr>
                </pic:pic>
              </a:graphicData>
            </a:graphic>
          </wp:inline>
        </w:drawing>
      </w:r>
    </w:p>
    <w:p>
      <w:pPr>
        <w:pStyle w:val="Normal"/>
        <w:rPr>
          <w:rFonts w:ascii="Calibri" w:hAnsi="Calibri" w:cs="Calibri" w:asciiTheme="minorHAnsi" w:cstheme="minorHAnsi" w:hAnsiTheme="minorHAnsi"/>
          <w:sz w:val="18"/>
          <w:szCs w:val="18"/>
        </w:rPr>
      </w:pPr>
      <w:r>
        <w:rPr>
          <w:rFonts w:cs="Calibri" w:cstheme="minorHAnsi"/>
          <w:sz w:val="18"/>
          <w:szCs w:val="18"/>
        </w:rPr>
        <w:t>Dane na podstawie Bazy Danych Lokalnych GUS</w:t>
      </w:r>
    </w:p>
    <w:p>
      <w:pPr>
        <w:sectPr>
          <w:footerReference w:type="default" r:id="rId6"/>
          <w:type w:val="nextPage"/>
          <w:pgSz w:w="11906" w:h="16838"/>
          <w:pgMar w:left="1417" w:right="1417" w:header="0" w:top="1417" w:footer="708" w:bottom="1417" w:gutter="0"/>
          <w:pgNumType w:fmt="decimal"/>
          <w:formProt w:val="false"/>
          <w:textDirection w:val="lrTb"/>
          <w:docGrid w:type="default" w:linePitch="360" w:charSpace="4096"/>
        </w:sectPr>
        <w:pStyle w:val="Normal"/>
        <w:rPr>
          <w:rFonts w:ascii="Calibri" w:hAnsi="Calibri" w:cs="Calibri" w:asciiTheme="minorHAnsi" w:cstheme="minorHAnsi" w:hAnsiTheme="minorHAnsi"/>
          <w:sz w:val="18"/>
          <w:szCs w:val="18"/>
        </w:rPr>
      </w:pPr>
      <w:r>
        <w:rPr>
          <w:rFonts w:cs="Calibri" w:cstheme="minorHAnsi"/>
          <w:sz w:val="18"/>
          <w:szCs w:val="18"/>
        </w:rPr>
      </w:r>
    </w:p>
    <w:p>
      <w:pPr>
        <w:pStyle w:val="Normal"/>
        <w:jc w:val="both"/>
        <w:rPr/>
      </w:pPr>
      <w:r>
        <w:rPr/>
        <w:t>Rosnący udział osób w wieku starszym świetnie obrazuje też piramida wieku, która dodatkowe zestawiona jest tu ze średnią dla całego GZM-u.</w:t>
      </w:r>
    </w:p>
    <w:p>
      <w:pPr>
        <w:pStyle w:val="Normal"/>
        <w:rPr/>
      </w:pPr>
      <w:r>
        <w:rPr/>
        <w:drawing>
          <wp:inline distT="0" distB="0" distL="0" distR="0">
            <wp:extent cx="9376410" cy="4495800"/>
            <wp:effectExtent l="0" t="0" r="0" b="0"/>
            <wp:docPr id="6" name="Obraz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4" descr=""/>
                    <pic:cNvPicPr>
                      <a:picLocks noChangeAspect="1" noChangeArrowheads="1"/>
                    </pic:cNvPicPr>
                  </pic:nvPicPr>
                  <pic:blipFill>
                    <a:blip r:embed="rId7"/>
                    <a:stretch>
                      <a:fillRect/>
                    </a:stretch>
                  </pic:blipFill>
                  <pic:spPr bwMode="auto">
                    <a:xfrm>
                      <a:off x="0" y="0"/>
                      <a:ext cx="9376410" cy="4495800"/>
                    </a:xfrm>
                    <a:prstGeom prst="rect">
                      <a:avLst/>
                    </a:prstGeom>
                  </pic:spPr>
                </pic:pic>
              </a:graphicData>
            </a:graphic>
          </wp:inline>
        </w:drawing>
      </w:r>
    </w:p>
    <w:p>
      <w:pPr>
        <w:sectPr>
          <w:footerReference w:type="default" r:id="rId8"/>
          <w:type w:val="nextPage"/>
          <w:pgSz w:orient="landscape" w:w="16838" w:h="11906"/>
          <w:pgMar w:left="1418" w:right="1418" w:header="0" w:top="1418" w:footer="709" w:bottom="1418" w:gutter="0"/>
          <w:pgNumType w:fmt="decimal"/>
          <w:formProt w:val="false"/>
          <w:textDirection w:val="lrTb"/>
          <w:docGrid w:type="default" w:linePitch="360" w:charSpace="4096"/>
        </w:sectPr>
        <w:pStyle w:val="Normal"/>
        <w:rPr/>
      </w:pPr>
      <w:r>
        <w:rPr>
          <w:rFonts w:cs="Calibri" w:cstheme="minorHAnsi"/>
          <w:sz w:val="18"/>
          <w:szCs w:val="18"/>
        </w:rPr>
        <w:t>Dane na podstawie INFO</w:t>
      </w:r>
    </w:p>
    <w:p>
      <w:pPr>
        <w:pStyle w:val="Nagwek1"/>
        <w:rPr/>
      </w:pPr>
      <w:r>
        <w:rPr/>
        <w:t>Potencjał gospodarczy</w:t>
      </w:r>
    </w:p>
    <w:p>
      <w:pPr>
        <w:pStyle w:val="Normal"/>
        <w:jc w:val="both"/>
        <w:rPr/>
      </w:pPr>
      <w:r>
        <w:rPr/>
        <w:t>Analizując kwestie gospodarcze trzeba mieć na względzie kontekst metropolitalny. Sosnowiec jest jednym z wielu miast tworzących platformę rozwoju całego województwa i jak widać z danych GUS wpisuje się w regionalne trendy związane z przedsiębiorczością, oczywiście adekwatnie do swojej pozycji na tle innych jednostek miejskich (wicelider wschodniej części GZM).</w:t>
      </w:r>
    </w:p>
    <w:p>
      <w:pPr>
        <w:pStyle w:val="Normal"/>
        <w:rPr/>
      </w:pPr>
      <w:r>
        <w:rPr/>
      </w:r>
    </w:p>
    <w:tbl>
      <w:tblPr>
        <w:tblW w:w="9163" w:type="dxa"/>
        <w:jc w:val="left"/>
        <w:tblInd w:w="7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65" w:type="dxa"/>
          <w:bottom w:w="0" w:type="dxa"/>
          <w:right w:w="70" w:type="dxa"/>
        </w:tblCellMar>
        <w:tblLook w:val="04a0"/>
      </w:tblPr>
      <w:tblGrid>
        <w:gridCol w:w="1193"/>
        <w:gridCol w:w="2003"/>
        <w:gridCol w:w="964"/>
        <w:gridCol w:w="985"/>
        <w:gridCol w:w="963"/>
        <w:gridCol w:w="964"/>
        <w:gridCol w:w="972"/>
        <w:gridCol w:w="970"/>
        <w:gridCol w:w="148"/>
      </w:tblGrid>
      <w:tr>
        <w:trPr>
          <w:trHeight w:val="1797" w:hRule="atLeast"/>
        </w:trPr>
        <w:tc>
          <w:tcPr>
            <w:tcW w:w="1193"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9BC2E6" w:val="clear"/>
            <w:tcMar>
              <w:left w:w="65" w:type="dxa"/>
            </w:tcMar>
            <w:vAlign w:val="center"/>
          </w:tcPr>
          <w:p>
            <w:pPr>
              <w:pStyle w:val="Normal"/>
              <w:spacing w:lineRule="auto" w:line="240" w:before="0" w:after="0"/>
              <w:jc w:val="center"/>
              <w:rPr>
                <w:rFonts w:eastAsia="Times New Roman" w:cs="Calibri"/>
                <w:b/>
                <w:b/>
                <w:bCs/>
                <w:color w:val="FFFFFF"/>
                <w:lang w:eastAsia="pl-PL"/>
              </w:rPr>
            </w:pPr>
            <w:r>
              <w:rPr>
                <w:rFonts w:eastAsia="Times New Roman" w:cs="Calibri"/>
                <w:b/>
                <w:bCs/>
                <w:color w:val="FFFFFF"/>
                <w:lang w:eastAsia="pl-PL"/>
              </w:rPr>
              <w:t>Kod</w:t>
            </w:r>
          </w:p>
        </w:tc>
        <w:tc>
          <w:tcPr>
            <w:tcW w:w="2003"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9BC2E6" w:val="clear"/>
            <w:tcMar>
              <w:left w:w="65" w:type="dxa"/>
            </w:tcMar>
            <w:vAlign w:val="center"/>
          </w:tcPr>
          <w:p>
            <w:pPr>
              <w:pStyle w:val="Normal"/>
              <w:spacing w:lineRule="auto" w:line="240" w:before="0" w:after="0"/>
              <w:jc w:val="center"/>
              <w:rPr>
                <w:rFonts w:eastAsia="Times New Roman" w:cs="Calibri"/>
                <w:b/>
                <w:b/>
                <w:bCs/>
                <w:color w:val="FFFFFF"/>
                <w:lang w:eastAsia="pl-PL"/>
              </w:rPr>
            </w:pPr>
            <w:r>
              <w:rPr>
                <w:rFonts w:eastAsia="Times New Roman" w:cs="Calibri"/>
                <w:b/>
                <w:bCs/>
                <w:color w:val="FFFFFF"/>
                <w:lang w:eastAsia="pl-PL"/>
              </w:rPr>
              <w:t>Gmina</w:t>
            </w:r>
          </w:p>
        </w:tc>
        <w:tc>
          <w:tcPr>
            <w:tcW w:w="1949" w:type="dxa"/>
            <w:gridSpan w:val="2"/>
            <w:vMerge w:val="restart"/>
            <w:tcBorders>
              <w:top w:val="single" w:sz="4" w:space="0" w:color="00000A"/>
              <w:left w:val="single" w:sz="4" w:space="0" w:color="00000A"/>
              <w:bottom w:val="single" w:sz="4" w:space="0" w:color="000001"/>
              <w:right w:val="single" w:sz="4" w:space="0" w:color="000001"/>
              <w:insideH w:val="single" w:sz="4" w:space="0" w:color="000001"/>
              <w:insideV w:val="single" w:sz="4" w:space="0" w:color="000001"/>
            </w:tcBorders>
            <w:shd w:color="000000" w:fill="9BC2E6" w:val="clear"/>
            <w:tcMar>
              <w:left w:w="65" w:type="dxa"/>
            </w:tcMar>
            <w:vAlign w:val="center"/>
          </w:tcPr>
          <w:p>
            <w:pPr>
              <w:pStyle w:val="Normal"/>
              <w:spacing w:lineRule="auto" w:line="240" w:before="0" w:after="0"/>
              <w:jc w:val="center"/>
              <w:rPr>
                <w:rFonts w:eastAsia="Times New Roman" w:cs="Calibri"/>
                <w:b/>
                <w:b/>
                <w:bCs/>
                <w:color w:val="FFFFFF"/>
                <w:lang w:eastAsia="pl-PL"/>
              </w:rPr>
            </w:pPr>
            <w:r>
              <w:rPr>
                <w:rFonts w:eastAsia="Times New Roman" w:cs="Calibri"/>
                <w:b/>
                <w:bCs/>
                <w:color w:val="FFFFFF"/>
                <w:lang w:eastAsia="pl-PL"/>
              </w:rPr>
              <w:t>Ogólna liczba podmiotów wpisanych do rejestru REGON</w:t>
            </w:r>
          </w:p>
        </w:tc>
        <w:tc>
          <w:tcPr>
            <w:tcW w:w="1927" w:type="dxa"/>
            <w:gridSpan w:val="2"/>
            <w:vMerge w:val="restart"/>
            <w:tcBorders>
              <w:top w:val="single" w:sz="4" w:space="0" w:color="00000A"/>
              <w:left w:val="single" w:sz="4" w:space="0" w:color="00000A"/>
              <w:bottom w:val="single" w:sz="4" w:space="0" w:color="000001"/>
              <w:right w:val="single" w:sz="4" w:space="0" w:color="000001"/>
              <w:insideH w:val="single" w:sz="4" w:space="0" w:color="000001"/>
              <w:insideV w:val="single" w:sz="4" w:space="0" w:color="000001"/>
            </w:tcBorders>
            <w:shd w:color="000000" w:fill="9BC2E6" w:val="clear"/>
            <w:tcMar>
              <w:left w:w="65" w:type="dxa"/>
            </w:tcMar>
            <w:vAlign w:val="center"/>
          </w:tcPr>
          <w:p>
            <w:pPr>
              <w:pStyle w:val="Normal"/>
              <w:spacing w:lineRule="auto" w:line="240" w:before="0" w:after="0"/>
              <w:jc w:val="center"/>
              <w:rPr>
                <w:rFonts w:eastAsia="Times New Roman" w:cs="Calibri"/>
                <w:b/>
                <w:b/>
                <w:bCs/>
                <w:color w:val="FFFFFF"/>
                <w:lang w:eastAsia="pl-PL"/>
              </w:rPr>
            </w:pPr>
            <w:r>
              <w:rPr>
                <w:rFonts w:eastAsia="Times New Roman" w:cs="Calibri"/>
                <w:b/>
                <w:bCs/>
                <w:color w:val="FFFFFF"/>
                <w:lang w:eastAsia="pl-PL"/>
              </w:rPr>
              <w:t>Podmioty wpisane do rejestru REGON na 1000 ludności</w:t>
            </w:r>
          </w:p>
        </w:tc>
        <w:tc>
          <w:tcPr>
            <w:tcW w:w="1942" w:type="dxa"/>
            <w:gridSpan w:val="2"/>
            <w:vMerge w:val="restart"/>
            <w:tcBorders>
              <w:top w:val="single" w:sz="4" w:space="0" w:color="00000A"/>
              <w:left w:val="single" w:sz="4" w:space="0" w:color="00000A"/>
              <w:bottom w:val="single" w:sz="4" w:space="0" w:color="000001"/>
              <w:right w:val="single" w:sz="4" w:space="0" w:color="000001"/>
              <w:insideH w:val="single" w:sz="4" w:space="0" w:color="000001"/>
              <w:insideV w:val="single" w:sz="4" w:space="0" w:color="000001"/>
            </w:tcBorders>
            <w:shd w:color="000000" w:fill="9BC2E6" w:val="clear"/>
            <w:tcMar>
              <w:left w:w="65" w:type="dxa"/>
            </w:tcMar>
            <w:vAlign w:val="center"/>
          </w:tcPr>
          <w:p>
            <w:pPr>
              <w:pStyle w:val="Normal"/>
              <w:spacing w:lineRule="auto" w:line="240" w:before="0" w:after="0"/>
              <w:jc w:val="center"/>
              <w:rPr>
                <w:rFonts w:eastAsia="Times New Roman" w:cs="Calibri"/>
                <w:b/>
                <w:b/>
                <w:bCs/>
                <w:color w:val="FFFFFF"/>
                <w:lang w:eastAsia="pl-PL"/>
              </w:rPr>
            </w:pPr>
            <w:r>
              <w:rPr>
                <w:rFonts w:eastAsia="Times New Roman" w:cs="Calibri"/>
                <w:b/>
                <w:bCs/>
                <w:color w:val="FFFFFF"/>
                <w:lang w:eastAsia="pl-PL"/>
              </w:rPr>
              <w:t>Podmioty wpisane do rejestru REGON na 1000 mieszkańców w wieku produkcyjnym</w:t>
            </w:r>
          </w:p>
        </w:tc>
        <w:tc>
          <w:tcPr>
            <w:tcW w:w="148" w:type="dxa"/>
            <w:tcBorders/>
            <w:shd w:fill="auto" w:val="clear"/>
          </w:tcPr>
          <w:p>
            <w:pPr>
              <w:pStyle w:val="Normal"/>
              <w:widowControl/>
              <w:bidi w:val="0"/>
              <w:spacing w:lineRule="auto" w:line="259" w:before="0" w:after="160"/>
              <w:jc w:val="left"/>
              <w:rPr/>
            </w:pPr>
            <w:r>
              <w:rPr/>
            </w:r>
          </w:p>
        </w:tc>
      </w:tr>
      <w:tr>
        <w:trPr>
          <w:trHeight w:val="310" w:hRule="atLeast"/>
        </w:trPr>
        <w:tc>
          <w:tcPr>
            <w:tcW w:w="119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center"/>
          </w:tcPr>
          <w:p>
            <w:pPr>
              <w:pStyle w:val="Normal"/>
              <w:spacing w:lineRule="auto" w:line="240" w:before="0" w:after="0"/>
              <w:rPr>
                <w:rFonts w:eastAsia="Times New Roman" w:cs="Calibri"/>
                <w:b/>
                <w:b/>
                <w:bCs/>
                <w:color w:val="FFFFFF"/>
                <w:lang w:eastAsia="pl-PL"/>
              </w:rPr>
            </w:pPr>
            <w:r>
              <w:rPr>
                <w:rFonts w:eastAsia="Times New Roman" w:cs="Calibri"/>
                <w:b/>
                <w:bCs/>
                <w:color w:val="FFFFFF"/>
                <w:lang w:eastAsia="pl-PL"/>
              </w:rPr>
            </w:r>
          </w:p>
        </w:tc>
        <w:tc>
          <w:tcPr>
            <w:tcW w:w="200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center"/>
          </w:tcPr>
          <w:p>
            <w:pPr>
              <w:pStyle w:val="Normal"/>
              <w:spacing w:lineRule="auto" w:line="240" w:before="0" w:after="0"/>
              <w:rPr>
                <w:rFonts w:eastAsia="Times New Roman" w:cs="Calibri"/>
                <w:b/>
                <w:b/>
                <w:bCs/>
                <w:color w:val="FFFFFF"/>
                <w:lang w:eastAsia="pl-PL"/>
              </w:rPr>
            </w:pPr>
            <w:r>
              <w:rPr>
                <w:rFonts w:eastAsia="Times New Roman" w:cs="Calibri"/>
                <w:b/>
                <w:bCs/>
                <w:color w:val="FFFFFF"/>
                <w:lang w:eastAsia="pl-PL"/>
              </w:rPr>
            </w:r>
          </w:p>
        </w:tc>
        <w:tc>
          <w:tcPr>
            <w:tcW w:w="1949" w:type="dxa"/>
            <w:gridSpan w:val="2"/>
            <w:vMerge w:val="continue"/>
            <w:tcBorders>
              <w:top w:val="single" w:sz="4" w:space="0" w:color="00000A"/>
              <w:left w:val="single" w:sz="4" w:space="0" w:color="00000A"/>
              <w:bottom w:val="single" w:sz="4" w:space="0" w:color="000001"/>
              <w:right w:val="single" w:sz="4" w:space="0" w:color="000001"/>
              <w:insideH w:val="single" w:sz="4" w:space="0" w:color="000001"/>
              <w:insideV w:val="single" w:sz="4" w:space="0" w:color="000001"/>
            </w:tcBorders>
            <w:shd w:fill="auto" w:val="clear"/>
            <w:tcMar>
              <w:left w:w="65" w:type="dxa"/>
            </w:tcMar>
            <w:vAlign w:val="center"/>
          </w:tcPr>
          <w:p>
            <w:pPr>
              <w:pStyle w:val="Normal"/>
              <w:spacing w:lineRule="auto" w:line="240" w:before="0" w:after="0"/>
              <w:rPr>
                <w:rFonts w:eastAsia="Times New Roman" w:cs="Calibri"/>
                <w:b/>
                <w:b/>
                <w:bCs/>
                <w:color w:val="FFFFFF"/>
                <w:lang w:eastAsia="pl-PL"/>
              </w:rPr>
            </w:pPr>
            <w:r>
              <w:rPr>
                <w:rFonts w:eastAsia="Times New Roman" w:cs="Calibri"/>
                <w:b/>
                <w:bCs/>
                <w:color w:val="FFFFFF"/>
                <w:lang w:eastAsia="pl-PL"/>
              </w:rPr>
            </w:r>
          </w:p>
        </w:tc>
        <w:tc>
          <w:tcPr>
            <w:tcW w:w="1927" w:type="dxa"/>
            <w:gridSpan w:val="2"/>
            <w:vMerge w:val="continue"/>
            <w:tcBorders>
              <w:top w:val="single" w:sz="4" w:space="0" w:color="00000A"/>
              <w:left w:val="single" w:sz="4" w:space="0" w:color="00000A"/>
              <w:bottom w:val="single" w:sz="4" w:space="0" w:color="000001"/>
              <w:right w:val="single" w:sz="4" w:space="0" w:color="000001"/>
              <w:insideH w:val="single" w:sz="4" w:space="0" w:color="000001"/>
              <w:insideV w:val="single" w:sz="4" w:space="0" w:color="000001"/>
            </w:tcBorders>
            <w:shd w:fill="auto" w:val="clear"/>
            <w:tcMar>
              <w:left w:w="65" w:type="dxa"/>
            </w:tcMar>
            <w:vAlign w:val="center"/>
          </w:tcPr>
          <w:p>
            <w:pPr>
              <w:pStyle w:val="Normal"/>
              <w:spacing w:lineRule="auto" w:line="240" w:before="0" w:after="0"/>
              <w:rPr>
                <w:rFonts w:eastAsia="Times New Roman" w:cs="Calibri"/>
                <w:b/>
                <w:b/>
                <w:bCs/>
                <w:color w:val="FFFFFF"/>
                <w:lang w:eastAsia="pl-PL"/>
              </w:rPr>
            </w:pPr>
            <w:r>
              <w:rPr>
                <w:rFonts w:eastAsia="Times New Roman" w:cs="Calibri"/>
                <w:b/>
                <w:bCs/>
                <w:color w:val="FFFFFF"/>
                <w:lang w:eastAsia="pl-PL"/>
              </w:rPr>
            </w:r>
          </w:p>
        </w:tc>
        <w:tc>
          <w:tcPr>
            <w:tcW w:w="1942" w:type="dxa"/>
            <w:gridSpan w:val="2"/>
            <w:vMerge w:val="continue"/>
            <w:tcBorders>
              <w:top w:val="single" w:sz="4" w:space="0" w:color="00000A"/>
              <w:left w:val="single" w:sz="4" w:space="0" w:color="00000A"/>
              <w:bottom w:val="single" w:sz="4" w:space="0" w:color="000001"/>
              <w:right w:val="single" w:sz="4" w:space="0" w:color="000001"/>
              <w:insideH w:val="single" w:sz="4" w:space="0" w:color="000001"/>
              <w:insideV w:val="single" w:sz="4" w:space="0" w:color="000001"/>
            </w:tcBorders>
            <w:shd w:fill="auto" w:val="clear"/>
            <w:tcMar>
              <w:left w:w="65" w:type="dxa"/>
            </w:tcMar>
            <w:vAlign w:val="center"/>
          </w:tcPr>
          <w:p>
            <w:pPr>
              <w:pStyle w:val="Normal"/>
              <w:spacing w:lineRule="auto" w:line="240" w:before="0" w:after="0"/>
              <w:rPr>
                <w:rFonts w:eastAsia="Times New Roman" w:cs="Calibri"/>
                <w:b/>
                <w:b/>
                <w:bCs/>
                <w:color w:val="FFFFFF"/>
                <w:lang w:eastAsia="pl-PL"/>
              </w:rPr>
            </w:pPr>
            <w:r>
              <w:rPr>
                <w:rFonts w:eastAsia="Times New Roman" w:cs="Calibri"/>
                <w:b/>
                <w:bCs/>
                <w:color w:val="FFFFFF"/>
                <w:lang w:eastAsia="pl-PL"/>
              </w:rPr>
            </w:r>
          </w:p>
        </w:tc>
        <w:tc>
          <w:tcPr>
            <w:tcW w:w="148" w:type="dxa"/>
            <w:tcBorders/>
            <w:shd w:color="auto" w:fill="auto" w:val="clear"/>
            <w:vAlign w:val="bottom"/>
          </w:tcPr>
          <w:p>
            <w:pPr>
              <w:pStyle w:val="Normal"/>
              <w:spacing w:lineRule="auto" w:line="240" w:before="0" w:after="0"/>
              <w:jc w:val="center"/>
              <w:rPr>
                <w:rFonts w:eastAsia="Times New Roman" w:cs="Calibri"/>
                <w:b/>
                <w:b/>
                <w:bCs/>
                <w:color w:val="FFFFFF"/>
                <w:lang w:eastAsia="pl-PL"/>
              </w:rPr>
            </w:pPr>
            <w:r>
              <w:rPr>
                <w:rFonts w:eastAsia="Times New Roman" w:cs="Calibri"/>
                <w:b/>
                <w:bCs/>
                <w:color w:val="FFFFFF"/>
                <w:lang w:eastAsia="pl-PL"/>
              </w:rPr>
            </w:r>
          </w:p>
        </w:tc>
      </w:tr>
      <w:tr>
        <w:trPr>
          <w:trHeight w:val="310" w:hRule="atLeast"/>
        </w:trPr>
        <w:tc>
          <w:tcPr>
            <w:tcW w:w="119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center"/>
          </w:tcPr>
          <w:p>
            <w:pPr>
              <w:pStyle w:val="Normal"/>
              <w:spacing w:lineRule="auto" w:line="240" w:before="0" w:after="0"/>
              <w:rPr>
                <w:rFonts w:eastAsia="Times New Roman" w:cs="Calibri"/>
                <w:b/>
                <w:b/>
                <w:bCs/>
                <w:color w:val="FFFFFF"/>
                <w:lang w:eastAsia="pl-PL"/>
              </w:rPr>
            </w:pPr>
            <w:r>
              <w:rPr>
                <w:rFonts w:eastAsia="Times New Roman" w:cs="Calibri"/>
                <w:b/>
                <w:bCs/>
                <w:color w:val="FFFFFF"/>
                <w:lang w:eastAsia="pl-PL"/>
              </w:rPr>
            </w:r>
          </w:p>
        </w:tc>
        <w:tc>
          <w:tcPr>
            <w:tcW w:w="200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65" w:type="dxa"/>
            </w:tcMar>
            <w:vAlign w:val="center"/>
          </w:tcPr>
          <w:p>
            <w:pPr>
              <w:pStyle w:val="Normal"/>
              <w:spacing w:lineRule="auto" w:line="240" w:before="0" w:after="0"/>
              <w:rPr>
                <w:rFonts w:eastAsia="Times New Roman" w:cs="Calibri"/>
                <w:b/>
                <w:b/>
                <w:bCs/>
                <w:color w:val="FFFFFF"/>
                <w:lang w:eastAsia="pl-PL"/>
              </w:rPr>
            </w:pPr>
            <w:r>
              <w:rPr>
                <w:rFonts w:eastAsia="Times New Roman" w:cs="Calibri"/>
                <w:b/>
                <w:bCs/>
                <w:color w:val="FFFFFF"/>
                <w:lang w:eastAsia="pl-PL"/>
              </w:rPr>
            </w:r>
          </w:p>
        </w:tc>
        <w:tc>
          <w:tcPr>
            <w:tcW w:w="964" w:type="dxa"/>
            <w:tcBorders>
              <w:bottom w:val="single" w:sz="4" w:space="0" w:color="00000A"/>
              <w:right w:val="single" w:sz="4" w:space="0" w:color="00000A"/>
              <w:insideH w:val="single" w:sz="4" w:space="0" w:color="00000A"/>
              <w:insideV w:val="single" w:sz="4" w:space="0" w:color="00000A"/>
            </w:tcBorders>
            <w:shd w:color="000000" w:fill="9BC2E6" w:val="clear"/>
            <w:vAlign w:val="center"/>
          </w:tcPr>
          <w:p>
            <w:pPr>
              <w:pStyle w:val="Normal"/>
              <w:spacing w:lineRule="auto" w:line="240" w:before="0" w:after="0"/>
              <w:jc w:val="center"/>
              <w:rPr>
                <w:rFonts w:eastAsia="Times New Roman" w:cs="Calibri"/>
                <w:b/>
                <w:b/>
                <w:bCs/>
                <w:color w:val="FFFFFF"/>
                <w:lang w:eastAsia="pl-PL"/>
              </w:rPr>
            </w:pPr>
            <w:r>
              <w:rPr>
                <w:rFonts w:eastAsia="Times New Roman" w:cs="Calibri"/>
                <w:b/>
                <w:bCs/>
                <w:color w:val="FFFFFF"/>
                <w:lang w:eastAsia="pl-PL"/>
              </w:rPr>
              <w:t>2019</w:t>
            </w:r>
          </w:p>
        </w:tc>
        <w:tc>
          <w:tcPr>
            <w:tcW w:w="985" w:type="dxa"/>
            <w:tcBorders>
              <w:bottom w:val="single" w:sz="4" w:space="0" w:color="00000A"/>
              <w:right w:val="single" w:sz="4" w:space="0" w:color="00000A"/>
              <w:insideH w:val="single" w:sz="4" w:space="0" w:color="00000A"/>
              <w:insideV w:val="single" w:sz="4" w:space="0" w:color="00000A"/>
            </w:tcBorders>
            <w:shd w:color="000000" w:fill="9BC2E6" w:val="clear"/>
            <w:vAlign w:val="center"/>
          </w:tcPr>
          <w:p>
            <w:pPr>
              <w:pStyle w:val="Normal"/>
              <w:spacing w:lineRule="auto" w:line="240" w:before="0" w:after="0"/>
              <w:jc w:val="center"/>
              <w:rPr>
                <w:rFonts w:eastAsia="Times New Roman" w:cs="Calibri"/>
                <w:b/>
                <w:b/>
                <w:bCs/>
                <w:color w:val="FFFFFF"/>
                <w:lang w:eastAsia="pl-PL"/>
              </w:rPr>
            </w:pPr>
            <w:r>
              <w:rPr>
                <w:rFonts w:eastAsia="Times New Roman" w:cs="Calibri"/>
                <w:b/>
                <w:bCs/>
                <w:color w:val="FFFFFF"/>
                <w:lang w:eastAsia="pl-PL"/>
              </w:rPr>
              <w:t>2020</w:t>
            </w:r>
          </w:p>
        </w:tc>
        <w:tc>
          <w:tcPr>
            <w:tcW w:w="963" w:type="dxa"/>
            <w:tcBorders>
              <w:bottom w:val="single" w:sz="4" w:space="0" w:color="00000A"/>
              <w:right w:val="single" w:sz="4" w:space="0" w:color="00000A"/>
              <w:insideH w:val="single" w:sz="4" w:space="0" w:color="00000A"/>
              <w:insideV w:val="single" w:sz="4" w:space="0" w:color="00000A"/>
            </w:tcBorders>
            <w:shd w:color="000000" w:fill="9BC2E6" w:val="clear"/>
            <w:vAlign w:val="center"/>
          </w:tcPr>
          <w:p>
            <w:pPr>
              <w:pStyle w:val="Normal"/>
              <w:spacing w:lineRule="auto" w:line="240" w:before="0" w:after="0"/>
              <w:jc w:val="center"/>
              <w:rPr>
                <w:rFonts w:eastAsia="Times New Roman" w:cs="Calibri"/>
                <w:b/>
                <w:b/>
                <w:bCs/>
                <w:color w:val="FFFFFF"/>
                <w:lang w:eastAsia="pl-PL"/>
              </w:rPr>
            </w:pPr>
            <w:r>
              <w:rPr>
                <w:rFonts w:eastAsia="Times New Roman" w:cs="Calibri"/>
                <w:b/>
                <w:bCs/>
                <w:color w:val="FFFFFF"/>
                <w:lang w:eastAsia="pl-PL"/>
              </w:rPr>
              <w:t>2019</w:t>
            </w:r>
          </w:p>
        </w:tc>
        <w:tc>
          <w:tcPr>
            <w:tcW w:w="964" w:type="dxa"/>
            <w:tcBorders>
              <w:bottom w:val="single" w:sz="4" w:space="0" w:color="00000A"/>
              <w:right w:val="single" w:sz="4" w:space="0" w:color="00000A"/>
              <w:insideH w:val="single" w:sz="4" w:space="0" w:color="00000A"/>
              <w:insideV w:val="single" w:sz="4" w:space="0" w:color="00000A"/>
            </w:tcBorders>
            <w:shd w:color="000000" w:fill="9BC2E6" w:val="clear"/>
            <w:vAlign w:val="center"/>
          </w:tcPr>
          <w:p>
            <w:pPr>
              <w:pStyle w:val="Normal"/>
              <w:spacing w:lineRule="auto" w:line="240" w:before="0" w:after="0"/>
              <w:jc w:val="center"/>
              <w:rPr>
                <w:rFonts w:eastAsia="Times New Roman" w:cs="Calibri"/>
                <w:b/>
                <w:b/>
                <w:bCs/>
                <w:color w:val="FFFFFF"/>
                <w:lang w:eastAsia="pl-PL"/>
              </w:rPr>
            </w:pPr>
            <w:r>
              <w:rPr>
                <w:rFonts w:eastAsia="Times New Roman" w:cs="Calibri"/>
                <w:b/>
                <w:bCs/>
                <w:color w:val="FFFFFF"/>
                <w:lang w:eastAsia="pl-PL"/>
              </w:rPr>
              <w:t>2020</w:t>
            </w:r>
          </w:p>
        </w:tc>
        <w:tc>
          <w:tcPr>
            <w:tcW w:w="972" w:type="dxa"/>
            <w:tcBorders>
              <w:bottom w:val="single" w:sz="4" w:space="0" w:color="00000A"/>
              <w:right w:val="single" w:sz="4" w:space="0" w:color="00000A"/>
              <w:insideH w:val="single" w:sz="4" w:space="0" w:color="00000A"/>
              <w:insideV w:val="single" w:sz="4" w:space="0" w:color="00000A"/>
            </w:tcBorders>
            <w:shd w:color="000000" w:fill="9BC2E6" w:val="clear"/>
            <w:vAlign w:val="center"/>
          </w:tcPr>
          <w:p>
            <w:pPr>
              <w:pStyle w:val="Normal"/>
              <w:spacing w:lineRule="auto" w:line="240" w:before="0" w:after="0"/>
              <w:jc w:val="center"/>
              <w:rPr>
                <w:rFonts w:eastAsia="Times New Roman" w:cs="Calibri"/>
                <w:b/>
                <w:b/>
                <w:bCs/>
                <w:color w:val="FFFFFF"/>
                <w:lang w:eastAsia="pl-PL"/>
              </w:rPr>
            </w:pPr>
            <w:r>
              <w:rPr>
                <w:rFonts w:eastAsia="Times New Roman" w:cs="Calibri"/>
                <w:b/>
                <w:bCs/>
                <w:color w:val="FFFFFF"/>
                <w:lang w:eastAsia="pl-PL"/>
              </w:rPr>
              <w:t>2019</w:t>
            </w:r>
          </w:p>
        </w:tc>
        <w:tc>
          <w:tcPr>
            <w:tcW w:w="970" w:type="dxa"/>
            <w:tcBorders>
              <w:bottom w:val="single" w:sz="4" w:space="0" w:color="00000A"/>
              <w:right w:val="single" w:sz="4" w:space="0" w:color="00000A"/>
              <w:insideH w:val="single" w:sz="4" w:space="0" w:color="00000A"/>
              <w:insideV w:val="single" w:sz="4" w:space="0" w:color="00000A"/>
            </w:tcBorders>
            <w:shd w:color="000000" w:fill="9BC2E6" w:val="clear"/>
            <w:vAlign w:val="center"/>
          </w:tcPr>
          <w:p>
            <w:pPr>
              <w:pStyle w:val="Normal"/>
              <w:spacing w:lineRule="auto" w:line="240" w:before="0" w:after="0"/>
              <w:jc w:val="center"/>
              <w:rPr>
                <w:rFonts w:eastAsia="Times New Roman" w:cs="Calibri"/>
                <w:b/>
                <w:b/>
                <w:bCs/>
                <w:color w:val="FFFFFF"/>
                <w:lang w:eastAsia="pl-PL"/>
              </w:rPr>
            </w:pPr>
            <w:r>
              <w:rPr>
                <w:rFonts w:eastAsia="Times New Roman" w:cs="Calibri"/>
                <w:b/>
                <w:bCs/>
                <w:color w:val="FFFFFF"/>
                <w:lang w:eastAsia="pl-PL"/>
              </w:rPr>
              <w:t>2020</w:t>
            </w:r>
          </w:p>
        </w:tc>
        <w:tc>
          <w:tcPr>
            <w:tcW w:w="148" w:type="dxa"/>
            <w:tcBorders/>
            <w:shd w:fill="auto" w:val="clear"/>
            <w:vAlign w:val="center"/>
          </w:tcPr>
          <w:p>
            <w:pPr>
              <w:pStyle w:val="Normal"/>
              <w:spacing w:lineRule="auto" w:line="240" w:before="0" w:after="0"/>
              <w:rPr>
                <w:rFonts w:ascii="Times New Roman" w:hAnsi="Times New Roman" w:eastAsia="Times New Roman"/>
                <w:sz w:val="20"/>
                <w:szCs w:val="20"/>
                <w:lang w:eastAsia="pl-PL"/>
              </w:rPr>
            </w:pPr>
            <w:r>
              <w:rPr>
                <w:rFonts w:eastAsia="Times New Roman" w:ascii="Times New Roman" w:hAnsi="Times New Roman"/>
                <w:sz w:val="20"/>
                <w:szCs w:val="20"/>
                <w:lang w:eastAsia="pl-PL"/>
              </w:rPr>
            </w:r>
          </w:p>
        </w:tc>
      </w:tr>
      <w:tr>
        <w:trPr>
          <w:trHeight w:val="310" w:hRule="atLeast"/>
        </w:trPr>
        <w:tc>
          <w:tcPr>
            <w:tcW w:w="1193" w:type="dxa"/>
            <w:tcBorders>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5" w:type="dxa"/>
            </w:tcMar>
            <w:vAlign w:val="center"/>
          </w:tcPr>
          <w:p>
            <w:pPr>
              <w:pStyle w:val="Normal"/>
              <w:spacing w:lineRule="auto" w:line="240" w:before="0" w:after="0"/>
              <w:jc w:val="center"/>
              <w:rPr>
                <w:rFonts w:eastAsia="Times New Roman" w:cs="Calibri"/>
                <w:color w:val="000000"/>
                <w:lang w:eastAsia="pl-PL"/>
              </w:rPr>
            </w:pPr>
            <w:r>
              <w:rPr>
                <w:rFonts w:eastAsia="Times New Roman" w:cs="Calibri"/>
                <w:color w:val="000000"/>
                <w:lang w:eastAsia="pl-PL"/>
              </w:rPr>
              <w:t>2401011</w:t>
            </w:r>
          </w:p>
        </w:tc>
        <w:tc>
          <w:tcPr>
            <w:tcW w:w="2003"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rPr>
                <w:rFonts w:eastAsia="Times New Roman" w:cs="Calibri"/>
                <w:color w:val="000000"/>
                <w:lang w:eastAsia="pl-PL"/>
              </w:rPr>
            </w:pPr>
            <w:r>
              <w:rPr>
                <w:rFonts w:eastAsia="Times New Roman" w:cs="Calibri"/>
                <w:color w:val="000000"/>
                <w:lang w:eastAsia="pl-PL"/>
              </w:rPr>
              <w:t>Będzin</w:t>
            </w:r>
          </w:p>
        </w:tc>
        <w:tc>
          <w:tcPr>
            <w:tcW w:w="964"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rFonts w:eastAsia="Times New Roman" w:cs="Calibri"/>
                <w:color w:val="000000"/>
                <w:lang w:eastAsia="pl-PL"/>
              </w:rPr>
            </w:pPr>
            <w:r>
              <w:rPr>
                <w:rFonts w:eastAsia="Times New Roman" w:cs="Calibri"/>
                <w:color w:val="000000"/>
                <w:lang w:eastAsia="pl-PL"/>
              </w:rPr>
              <w:t>6 827</w:t>
            </w:r>
          </w:p>
        </w:tc>
        <w:tc>
          <w:tcPr>
            <w:tcW w:w="985"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rFonts w:eastAsia="Times New Roman" w:cs="Calibri"/>
                <w:color w:val="000000"/>
                <w:lang w:eastAsia="pl-PL"/>
              </w:rPr>
            </w:pPr>
            <w:r>
              <w:rPr>
                <w:rFonts w:eastAsia="Times New Roman" w:cs="Calibri"/>
                <w:color w:val="000000"/>
                <w:lang w:eastAsia="pl-PL"/>
              </w:rPr>
              <w:t>7 009</w:t>
            </w:r>
          </w:p>
        </w:tc>
        <w:tc>
          <w:tcPr>
            <w:tcW w:w="963"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rFonts w:eastAsia="Times New Roman" w:cs="Calibri"/>
                <w:color w:val="000000"/>
                <w:lang w:eastAsia="pl-PL"/>
              </w:rPr>
            </w:pPr>
            <w:r>
              <w:rPr>
                <w:rFonts w:eastAsia="Times New Roman" w:cs="Calibri"/>
                <w:color w:val="000000"/>
                <w:lang w:eastAsia="pl-PL"/>
              </w:rPr>
              <w:t>121</w:t>
            </w:r>
          </w:p>
        </w:tc>
        <w:tc>
          <w:tcPr>
            <w:tcW w:w="964"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rFonts w:eastAsia="Times New Roman" w:cs="Calibri"/>
                <w:color w:val="000000"/>
                <w:lang w:eastAsia="pl-PL"/>
              </w:rPr>
            </w:pPr>
            <w:r>
              <w:rPr>
                <w:rFonts w:eastAsia="Times New Roman" w:cs="Calibri"/>
                <w:color w:val="000000"/>
                <w:lang w:eastAsia="pl-PL"/>
              </w:rPr>
              <w:t>125</w:t>
            </w:r>
          </w:p>
        </w:tc>
        <w:tc>
          <w:tcPr>
            <w:tcW w:w="972"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rFonts w:eastAsia="Times New Roman" w:cs="Calibri"/>
                <w:color w:val="000000"/>
                <w:lang w:eastAsia="pl-PL"/>
              </w:rPr>
            </w:pPr>
            <w:r>
              <w:rPr>
                <w:rFonts w:eastAsia="Times New Roman" w:cs="Calibri"/>
                <w:color w:val="000000"/>
                <w:lang w:eastAsia="pl-PL"/>
              </w:rPr>
              <w:t>207,9</w:t>
            </w:r>
          </w:p>
        </w:tc>
        <w:tc>
          <w:tcPr>
            <w:tcW w:w="970"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rFonts w:eastAsia="Times New Roman" w:cs="Calibri"/>
                <w:color w:val="000000"/>
                <w:lang w:eastAsia="pl-PL"/>
              </w:rPr>
            </w:pPr>
            <w:r>
              <w:rPr>
                <w:rFonts w:eastAsia="Times New Roman" w:cs="Calibri"/>
                <w:color w:val="000000"/>
                <w:lang w:eastAsia="pl-PL"/>
              </w:rPr>
              <w:t>216,6</w:t>
            </w:r>
          </w:p>
        </w:tc>
        <w:tc>
          <w:tcPr>
            <w:tcW w:w="148" w:type="dxa"/>
            <w:tcBorders/>
            <w:shd w:fill="auto" w:val="clear"/>
            <w:vAlign w:val="center"/>
          </w:tcPr>
          <w:p>
            <w:pPr>
              <w:pStyle w:val="Normal"/>
              <w:spacing w:lineRule="auto" w:line="240" w:before="0" w:after="0"/>
              <w:rPr>
                <w:rFonts w:ascii="Times New Roman" w:hAnsi="Times New Roman" w:eastAsia="Times New Roman"/>
                <w:sz w:val="20"/>
                <w:szCs w:val="20"/>
                <w:lang w:eastAsia="pl-PL"/>
              </w:rPr>
            </w:pPr>
            <w:r>
              <w:rPr>
                <w:rFonts w:eastAsia="Times New Roman" w:ascii="Times New Roman" w:hAnsi="Times New Roman"/>
                <w:sz w:val="20"/>
                <w:szCs w:val="20"/>
                <w:lang w:eastAsia="pl-PL"/>
              </w:rPr>
            </w:r>
          </w:p>
        </w:tc>
      </w:tr>
      <w:tr>
        <w:trPr>
          <w:trHeight w:val="310" w:hRule="atLeast"/>
        </w:trPr>
        <w:tc>
          <w:tcPr>
            <w:tcW w:w="1193" w:type="dxa"/>
            <w:tcBorders>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5" w:type="dxa"/>
            </w:tcMar>
            <w:vAlign w:val="center"/>
          </w:tcPr>
          <w:p>
            <w:pPr>
              <w:pStyle w:val="Normal"/>
              <w:spacing w:lineRule="auto" w:line="240" w:before="0" w:after="0"/>
              <w:jc w:val="center"/>
              <w:rPr>
                <w:rFonts w:eastAsia="Times New Roman" w:cs="Calibri"/>
                <w:color w:val="000000"/>
                <w:lang w:eastAsia="pl-PL"/>
              </w:rPr>
            </w:pPr>
            <w:r>
              <w:rPr>
                <w:rFonts w:eastAsia="Times New Roman" w:cs="Calibri"/>
                <w:color w:val="000000"/>
                <w:lang w:eastAsia="pl-PL"/>
              </w:rPr>
              <w:t>2401021</w:t>
            </w:r>
          </w:p>
        </w:tc>
        <w:tc>
          <w:tcPr>
            <w:tcW w:w="2003"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rPr>
                <w:rFonts w:eastAsia="Times New Roman" w:cs="Calibri"/>
                <w:color w:val="000000"/>
                <w:lang w:eastAsia="pl-PL"/>
              </w:rPr>
            </w:pPr>
            <w:r>
              <w:rPr>
                <w:rFonts w:eastAsia="Times New Roman" w:cs="Calibri"/>
                <w:color w:val="000000"/>
                <w:lang w:eastAsia="pl-PL"/>
              </w:rPr>
              <w:t>Czeladź</w:t>
            </w:r>
          </w:p>
        </w:tc>
        <w:tc>
          <w:tcPr>
            <w:tcW w:w="964"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rFonts w:eastAsia="Times New Roman" w:cs="Calibri"/>
                <w:color w:val="000000"/>
                <w:lang w:eastAsia="pl-PL"/>
              </w:rPr>
            </w:pPr>
            <w:r>
              <w:rPr>
                <w:rFonts w:eastAsia="Times New Roman" w:cs="Calibri"/>
                <w:color w:val="000000"/>
                <w:lang w:eastAsia="pl-PL"/>
              </w:rPr>
              <w:t>3 197</w:t>
            </w:r>
          </w:p>
        </w:tc>
        <w:tc>
          <w:tcPr>
            <w:tcW w:w="985"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rFonts w:eastAsia="Times New Roman" w:cs="Calibri"/>
                <w:color w:val="000000"/>
                <w:lang w:eastAsia="pl-PL"/>
              </w:rPr>
            </w:pPr>
            <w:r>
              <w:rPr>
                <w:rFonts w:eastAsia="Times New Roman" w:cs="Calibri"/>
                <w:color w:val="000000"/>
                <w:lang w:eastAsia="pl-PL"/>
              </w:rPr>
              <w:t>3 269</w:t>
            </w:r>
          </w:p>
        </w:tc>
        <w:tc>
          <w:tcPr>
            <w:tcW w:w="963"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rFonts w:eastAsia="Times New Roman" w:cs="Calibri"/>
                <w:color w:val="000000"/>
                <w:lang w:eastAsia="pl-PL"/>
              </w:rPr>
            </w:pPr>
            <w:r>
              <w:rPr>
                <w:rFonts w:eastAsia="Times New Roman" w:cs="Calibri"/>
                <w:color w:val="000000"/>
                <w:lang w:eastAsia="pl-PL"/>
              </w:rPr>
              <w:t>102</w:t>
            </w:r>
          </w:p>
        </w:tc>
        <w:tc>
          <w:tcPr>
            <w:tcW w:w="964"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rFonts w:eastAsia="Times New Roman" w:cs="Calibri"/>
                <w:color w:val="000000"/>
                <w:lang w:eastAsia="pl-PL"/>
              </w:rPr>
            </w:pPr>
            <w:r>
              <w:rPr>
                <w:rFonts w:eastAsia="Times New Roman" w:cs="Calibri"/>
                <w:color w:val="000000"/>
                <w:lang w:eastAsia="pl-PL"/>
              </w:rPr>
              <w:t>105</w:t>
            </w:r>
          </w:p>
        </w:tc>
        <w:tc>
          <w:tcPr>
            <w:tcW w:w="972"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rFonts w:eastAsia="Times New Roman" w:cs="Calibri"/>
                <w:color w:val="000000"/>
                <w:lang w:eastAsia="pl-PL"/>
              </w:rPr>
            </w:pPr>
            <w:r>
              <w:rPr>
                <w:rFonts w:eastAsia="Times New Roman" w:cs="Calibri"/>
                <w:color w:val="000000"/>
                <w:lang w:eastAsia="pl-PL"/>
              </w:rPr>
              <w:t>176,6</w:t>
            </w:r>
          </w:p>
        </w:tc>
        <w:tc>
          <w:tcPr>
            <w:tcW w:w="970"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rFonts w:eastAsia="Times New Roman" w:cs="Calibri"/>
                <w:color w:val="000000"/>
                <w:lang w:eastAsia="pl-PL"/>
              </w:rPr>
            </w:pPr>
            <w:r>
              <w:rPr>
                <w:rFonts w:eastAsia="Times New Roman" w:cs="Calibri"/>
                <w:color w:val="000000"/>
                <w:lang w:eastAsia="pl-PL"/>
              </w:rPr>
              <w:t>185,4</w:t>
            </w:r>
          </w:p>
        </w:tc>
        <w:tc>
          <w:tcPr>
            <w:tcW w:w="148" w:type="dxa"/>
            <w:tcBorders/>
            <w:shd w:fill="auto" w:val="clear"/>
            <w:vAlign w:val="center"/>
          </w:tcPr>
          <w:p>
            <w:pPr>
              <w:pStyle w:val="Normal"/>
              <w:spacing w:lineRule="auto" w:line="240" w:before="0" w:after="0"/>
              <w:rPr>
                <w:rFonts w:ascii="Times New Roman" w:hAnsi="Times New Roman" w:eastAsia="Times New Roman"/>
                <w:sz w:val="20"/>
                <w:szCs w:val="20"/>
                <w:lang w:eastAsia="pl-PL"/>
              </w:rPr>
            </w:pPr>
            <w:r>
              <w:rPr>
                <w:rFonts w:eastAsia="Times New Roman" w:ascii="Times New Roman" w:hAnsi="Times New Roman"/>
                <w:sz w:val="20"/>
                <w:szCs w:val="20"/>
                <w:lang w:eastAsia="pl-PL"/>
              </w:rPr>
            </w:r>
          </w:p>
        </w:tc>
      </w:tr>
      <w:tr>
        <w:trPr>
          <w:trHeight w:val="310" w:hRule="atLeast"/>
        </w:trPr>
        <w:tc>
          <w:tcPr>
            <w:tcW w:w="1193" w:type="dxa"/>
            <w:tcBorders>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5" w:type="dxa"/>
            </w:tcMar>
            <w:vAlign w:val="center"/>
          </w:tcPr>
          <w:p>
            <w:pPr>
              <w:pStyle w:val="Normal"/>
              <w:spacing w:lineRule="auto" w:line="240" w:before="0" w:after="0"/>
              <w:jc w:val="center"/>
              <w:rPr>
                <w:rFonts w:eastAsia="Times New Roman" w:cs="Calibri"/>
                <w:color w:val="000000"/>
                <w:lang w:eastAsia="pl-PL"/>
              </w:rPr>
            </w:pPr>
            <w:r>
              <w:rPr>
                <w:rFonts w:eastAsia="Times New Roman" w:cs="Calibri"/>
                <w:color w:val="000000"/>
                <w:lang w:eastAsia="pl-PL"/>
              </w:rPr>
              <w:t>2465011</w:t>
            </w:r>
          </w:p>
        </w:tc>
        <w:tc>
          <w:tcPr>
            <w:tcW w:w="2003"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rPr>
                <w:rFonts w:eastAsia="Times New Roman" w:cs="Calibri"/>
                <w:color w:val="000000"/>
                <w:lang w:eastAsia="pl-PL"/>
              </w:rPr>
            </w:pPr>
            <w:r>
              <w:rPr>
                <w:rFonts w:eastAsia="Times New Roman" w:cs="Calibri"/>
                <w:color w:val="000000"/>
                <w:lang w:eastAsia="pl-PL"/>
              </w:rPr>
              <w:t>Dąbrowa Górnicza</w:t>
            </w:r>
          </w:p>
        </w:tc>
        <w:tc>
          <w:tcPr>
            <w:tcW w:w="964"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rFonts w:eastAsia="Times New Roman" w:cs="Calibri"/>
                <w:color w:val="000000"/>
                <w:lang w:eastAsia="pl-PL"/>
              </w:rPr>
            </w:pPr>
            <w:r>
              <w:rPr>
                <w:rFonts w:eastAsia="Times New Roman" w:cs="Calibri"/>
                <w:color w:val="000000"/>
                <w:lang w:eastAsia="pl-PL"/>
              </w:rPr>
              <w:t>12 603</w:t>
            </w:r>
          </w:p>
        </w:tc>
        <w:tc>
          <w:tcPr>
            <w:tcW w:w="985"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rFonts w:eastAsia="Times New Roman" w:cs="Calibri"/>
                <w:color w:val="000000"/>
                <w:lang w:eastAsia="pl-PL"/>
              </w:rPr>
            </w:pPr>
            <w:r>
              <w:rPr>
                <w:rFonts w:eastAsia="Times New Roman" w:cs="Calibri"/>
                <w:color w:val="000000"/>
                <w:lang w:eastAsia="pl-PL"/>
              </w:rPr>
              <w:t>12 853</w:t>
            </w:r>
          </w:p>
        </w:tc>
        <w:tc>
          <w:tcPr>
            <w:tcW w:w="963"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rFonts w:eastAsia="Times New Roman" w:cs="Calibri"/>
                <w:color w:val="000000"/>
                <w:lang w:eastAsia="pl-PL"/>
              </w:rPr>
            </w:pPr>
            <w:r>
              <w:rPr>
                <w:rFonts w:eastAsia="Times New Roman" w:cs="Calibri"/>
                <w:color w:val="000000"/>
                <w:lang w:eastAsia="pl-PL"/>
              </w:rPr>
              <w:t>106</w:t>
            </w:r>
          </w:p>
        </w:tc>
        <w:tc>
          <w:tcPr>
            <w:tcW w:w="964"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rFonts w:eastAsia="Times New Roman" w:cs="Calibri"/>
                <w:color w:val="000000"/>
                <w:lang w:eastAsia="pl-PL"/>
              </w:rPr>
            </w:pPr>
            <w:r>
              <w:rPr>
                <w:rFonts w:eastAsia="Times New Roman" w:cs="Calibri"/>
                <w:color w:val="000000"/>
                <w:lang w:eastAsia="pl-PL"/>
              </w:rPr>
              <w:t>109</w:t>
            </w:r>
          </w:p>
        </w:tc>
        <w:tc>
          <w:tcPr>
            <w:tcW w:w="972"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rFonts w:eastAsia="Times New Roman" w:cs="Calibri"/>
                <w:color w:val="000000"/>
                <w:lang w:eastAsia="pl-PL"/>
              </w:rPr>
            </w:pPr>
            <w:r>
              <w:rPr>
                <w:rFonts w:eastAsia="Times New Roman" w:cs="Calibri"/>
                <w:color w:val="000000"/>
                <w:lang w:eastAsia="pl-PL"/>
              </w:rPr>
              <w:t>181,8</w:t>
            </w:r>
          </w:p>
        </w:tc>
        <w:tc>
          <w:tcPr>
            <w:tcW w:w="970"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rFonts w:eastAsia="Times New Roman" w:cs="Calibri"/>
                <w:color w:val="000000"/>
                <w:lang w:eastAsia="pl-PL"/>
              </w:rPr>
            </w:pPr>
            <w:r>
              <w:rPr>
                <w:rFonts w:eastAsia="Times New Roman" w:cs="Calibri"/>
                <w:color w:val="000000"/>
                <w:lang w:eastAsia="pl-PL"/>
              </w:rPr>
              <w:t>189,7</w:t>
            </w:r>
          </w:p>
        </w:tc>
        <w:tc>
          <w:tcPr>
            <w:tcW w:w="148" w:type="dxa"/>
            <w:tcBorders/>
            <w:shd w:fill="auto" w:val="clear"/>
            <w:vAlign w:val="center"/>
          </w:tcPr>
          <w:p>
            <w:pPr>
              <w:pStyle w:val="Normal"/>
              <w:spacing w:lineRule="auto" w:line="240" w:before="0" w:after="0"/>
              <w:rPr>
                <w:rFonts w:ascii="Times New Roman" w:hAnsi="Times New Roman" w:eastAsia="Times New Roman"/>
                <w:sz w:val="20"/>
                <w:szCs w:val="20"/>
                <w:lang w:eastAsia="pl-PL"/>
              </w:rPr>
            </w:pPr>
            <w:r>
              <w:rPr>
                <w:rFonts w:eastAsia="Times New Roman" w:ascii="Times New Roman" w:hAnsi="Times New Roman"/>
                <w:sz w:val="20"/>
                <w:szCs w:val="20"/>
                <w:lang w:eastAsia="pl-PL"/>
              </w:rPr>
            </w:r>
          </w:p>
        </w:tc>
      </w:tr>
      <w:tr>
        <w:trPr>
          <w:trHeight w:val="310" w:hRule="atLeast"/>
        </w:trPr>
        <w:tc>
          <w:tcPr>
            <w:tcW w:w="1193" w:type="dxa"/>
            <w:tcBorders>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5" w:type="dxa"/>
            </w:tcMar>
            <w:vAlign w:val="center"/>
          </w:tcPr>
          <w:p>
            <w:pPr>
              <w:pStyle w:val="Normal"/>
              <w:spacing w:lineRule="auto" w:line="240" w:before="0" w:after="0"/>
              <w:jc w:val="center"/>
              <w:rPr>
                <w:rFonts w:eastAsia="Times New Roman" w:cs="Calibri"/>
                <w:color w:val="000000"/>
                <w:lang w:eastAsia="pl-PL"/>
              </w:rPr>
            </w:pPr>
            <w:r>
              <w:rPr>
                <w:rFonts w:eastAsia="Times New Roman" w:cs="Calibri"/>
                <w:color w:val="000000"/>
                <w:lang w:eastAsia="pl-PL"/>
              </w:rPr>
              <w:t>2469011</w:t>
            </w:r>
          </w:p>
        </w:tc>
        <w:tc>
          <w:tcPr>
            <w:tcW w:w="2003"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rPr>
                <w:rFonts w:eastAsia="Times New Roman" w:cs="Calibri"/>
                <w:color w:val="000000"/>
                <w:lang w:eastAsia="pl-PL"/>
              </w:rPr>
            </w:pPr>
            <w:r>
              <w:rPr>
                <w:rFonts w:eastAsia="Times New Roman" w:cs="Calibri"/>
                <w:color w:val="000000"/>
                <w:lang w:eastAsia="pl-PL"/>
              </w:rPr>
              <w:t>Katowice</w:t>
            </w:r>
          </w:p>
        </w:tc>
        <w:tc>
          <w:tcPr>
            <w:tcW w:w="964"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rFonts w:eastAsia="Times New Roman" w:cs="Calibri"/>
                <w:color w:val="000000"/>
                <w:lang w:eastAsia="pl-PL"/>
              </w:rPr>
            </w:pPr>
            <w:r>
              <w:rPr>
                <w:rFonts w:eastAsia="Times New Roman" w:cs="Calibri"/>
                <w:color w:val="000000"/>
                <w:lang w:eastAsia="pl-PL"/>
              </w:rPr>
              <w:t>48 460</w:t>
            </w:r>
          </w:p>
        </w:tc>
        <w:tc>
          <w:tcPr>
            <w:tcW w:w="985"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rFonts w:eastAsia="Times New Roman" w:cs="Calibri"/>
                <w:color w:val="000000"/>
                <w:lang w:eastAsia="pl-PL"/>
              </w:rPr>
            </w:pPr>
            <w:r>
              <w:rPr>
                <w:rFonts w:eastAsia="Times New Roman" w:cs="Calibri"/>
                <w:color w:val="000000"/>
                <w:lang w:eastAsia="pl-PL"/>
              </w:rPr>
              <w:t>49 752</w:t>
            </w:r>
          </w:p>
        </w:tc>
        <w:tc>
          <w:tcPr>
            <w:tcW w:w="963"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rFonts w:eastAsia="Times New Roman" w:cs="Calibri"/>
                <w:color w:val="000000"/>
                <w:lang w:eastAsia="pl-PL"/>
              </w:rPr>
            </w:pPr>
            <w:r>
              <w:rPr>
                <w:rFonts w:eastAsia="Times New Roman" w:cs="Calibri"/>
                <w:color w:val="000000"/>
                <w:lang w:eastAsia="pl-PL"/>
              </w:rPr>
              <w:t>166</w:t>
            </w:r>
          </w:p>
        </w:tc>
        <w:tc>
          <w:tcPr>
            <w:tcW w:w="964"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rFonts w:eastAsia="Times New Roman" w:cs="Calibri"/>
                <w:color w:val="000000"/>
                <w:lang w:eastAsia="pl-PL"/>
              </w:rPr>
            </w:pPr>
            <w:r>
              <w:rPr>
                <w:rFonts w:eastAsia="Times New Roman" w:cs="Calibri"/>
                <w:color w:val="000000"/>
                <w:lang w:eastAsia="pl-PL"/>
              </w:rPr>
              <w:t>171</w:t>
            </w:r>
          </w:p>
        </w:tc>
        <w:tc>
          <w:tcPr>
            <w:tcW w:w="972"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rFonts w:eastAsia="Times New Roman" w:cs="Calibri"/>
                <w:color w:val="000000"/>
                <w:lang w:eastAsia="pl-PL"/>
              </w:rPr>
            </w:pPr>
            <w:r>
              <w:rPr>
                <w:rFonts w:eastAsia="Times New Roman" w:cs="Calibri"/>
                <w:color w:val="000000"/>
                <w:lang w:eastAsia="pl-PL"/>
              </w:rPr>
              <w:t>282,7</w:t>
            </w:r>
          </w:p>
        </w:tc>
        <w:tc>
          <w:tcPr>
            <w:tcW w:w="970"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rFonts w:eastAsia="Times New Roman" w:cs="Calibri"/>
                <w:color w:val="000000"/>
                <w:lang w:eastAsia="pl-PL"/>
              </w:rPr>
            </w:pPr>
            <w:r>
              <w:rPr>
                <w:rFonts w:eastAsia="Times New Roman" w:cs="Calibri"/>
                <w:color w:val="000000"/>
                <w:lang w:eastAsia="pl-PL"/>
              </w:rPr>
              <w:t>295,5</w:t>
            </w:r>
          </w:p>
        </w:tc>
        <w:tc>
          <w:tcPr>
            <w:tcW w:w="148" w:type="dxa"/>
            <w:tcBorders/>
            <w:shd w:fill="auto" w:val="clear"/>
            <w:vAlign w:val="center"/>
          </w:tcPr>
          <w:p>
            <w:pPr>
              <w:pStyle w:val="Normal"/>
              <w:spacing w:lineRule="auto" w:line="240" w:before="0" w:after="0"/>
              <w:rPr>
                <w:rFonts w:ascii="Times New Roman" w:hAnsi="Times New Roman" w:eastAsia="Times New Roman"/>
                <w:sz w:val="20"/>
                <w:szCs w:val="20"/>
                <w:lang w:eastAsia="pl-PL"/>
              </w:rPr>
            </w:pPr>
            <w:r>
              <w:rPr>
                <w:rFonts w:eastAsia="Times New Roman" w:ascii="Times New Roman" w:hAnsi="Times New Roman"/>
                <w:sz w:val="20"/>
                <w:szCs w:val="20"/>
                <w:lang w:eastAsia="pl-PL"/>
              </w:rPr>
            </w:r>
          </w:p>
        </w:tc>
      </w:tr>
      <w:tr>
        <w:trPr>
          <w:trHeight w:val="310" w:hRule="atLeast"/>
        </w:trPr>
        <w:tc>
          <w:tcPr>
            <w:tcW w:w="1193" w:type="dxa"/>
            <w:tcBorders>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5" w:type="dxa"/>
            </w:tcMar>
            <w:vAlign w:val="center"/>
          </w:tcPr>
          <w:p>
            <w:pPr>
              <w:pStyle w:val="Normal"/>
              <w:spacing w:lineRule="auto" w:line="240" w:before="0" w:after="0"/>
              <w:jc w:val="center"/>
              <w:rPr>
                <w:rFonts w:eastAsia="Times New Roman" w:cs="Calibri"/>
                <w:color w:val="000000"/>
                <w:lang w:eastAsia="pl-PL"/>
              </w:rPr>
            </w:pPr>
            <w:r>
              <w:rPr>
                <w:rFonts w:eastAsia="Times New Roman" w:cs="Calibri"/>
                <w:color w:val="000000"/>
                <w:lang w:eastAsia="pl-PL"/>
              </w:rPr>
              <w:t>2470011</w:t>
            </w:r>
          </w:p>
        </w:tc>
        <w:tc>
          <w:tcPr>
            <w:tcW w:w="2003"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rPr>
                <w:rFonts w:eastAsia="Times New Roman" w:cs="Calibri"/>
                <w:color w:val="000000"/>
                <w:lang w:eastAsia="pl-PL"/>
              </w:rPr>
            </w:pPr>
            <w:r>
              <w:rPr>
                <w:rFonts w:eastAsia="Times New Roman" w:cs="Calibri"/>
                <w:color w:val="000000"/>
                <w:lang w:eastAsia="pl-PL"/>
              </w:rPr>
              <w:t>Mysłowice</w:t>
            </w:r>
          </w:p>
        </w:tc>
        <w:tc>
          <w:tcPr>
            <w:tcW w:w="964"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rFonts w:eastAsia="Times New Roman" w:cs="Calibri"/>
                <w:color w:val="000000"/>
                <w:lang w:eastAsia="pl-PL"/>
              </w:rPr>
            </w:pPr>
            <w:r>
              <w:rPr>
                <w:rFonts w:eastAsia="Times New Roman" w:cs="Calibri"/>
                <w:color w:val="000000"/>
                <w:lang w:eastAsia="pl-PL"/>
              </w:rPr>
              <w:t>7 525</w:t>
            </w:r>
          </w:p>
        </w:tc>
        <w:tc>
          <w:tcPr>
            <w:tcW w:w="985"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rFonts w:eastAsia="Times New Roman" w:cs="Calibri"/>
                <w:color w:val="000000"/>
                <w:lang w:eastAsia="pl-PL"/>
              </w:rPr>
            </w:pPr>
            <w:r>
              <w:rPr>
                <w:rFonts w:eastAsia="Times New Roman" w:cs="Calibri"/>
                <w:color w:val="000000"/>
                <w:lang w:eastAsia="pl-PL"/>
              </w:rPr>
              <w:t>7 703</w:t>
            </w:r>
          </w:p>
        </w:tc>
        <w:tc>
          <w:tcPr>
            <w:tcW w:w="963"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rFonts w:eastAsia="Times New Roman" w:cs="Calibri"/>
                <w:color w:val="000000"/>
                <w:lang w:eastAsia="pl-PL"/>
              </w:rPr>
            </w:pPr>
            <w:r>
              <w:rPr>
                <w:rFonts w:eastAsia="Times New Roman" w:cs="Calibri"/>
                <w:color w:val="000000"/>
                <w:lang w:eastAsia="pl-PL"/>
              </w:rPr>
              <w:t>101</w:t>
            </w:r>
          </w:p>
        </w:tc>
        <w:tc>
          <w:tcPr>
            <w:tcW w:w="964"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rFonts w:eastAsia="Times New Roman" w:cs="Calibri"/>
                <w:color w:val="000000"/>
                <w:lang w:eastAsia="pl-PL"/>
              </w:rPr>
            </w:pPr>
            <w:r>
              <w:rPr>
                <w:rFonts w:eastAsia="Times New Roman" w:cs="Calibri"/>
                <w:color w:val="000000"/>
                <w:lang w:eastAsia="pl-PL"/>
              </w:rPr>
              <w:t>103</w:t>
            </w:r>
          </w:p>
        </w:tc>
        <w:tc>
          <w:tcPr>
            <w:tcW w:w="972"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rFonts w:eastAsia="Times New Roman" w:cs="Calibri"/>
                <w:color w:val="000000"/>
                <w:lang w:eastAsia="pl-PL"/>
              </w:rPr>
            </w:pPr>
            <w:r>
              <w:rPr>
                <w:rFonts w:eastAsia="Times New Roman" w:cs="Calibri"/>
                <w:color w:val="000000"/>
                <w:lang w:eastAsia="pl-PL"/>
              </w:rPr>
              <w:t>166,1</w:t>
            </w:r>
          </w:p>
        </w:tc>
        <w:tc>
          <w:tcPr>
            <w:tcW w:w="970"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rFonts w:eastAsia="Times New Roman" w:cs="Calibri"/>
                <w:color w:val="000000"/>
                <w:lang w:eastAsia="pl-PL"/>
              </w:rPr>
            </w:pPr>
            <w:r>
              <w:rPr>
                <w:rFonts w:eastAsia="Times New Roman" w:cs="Calibri"/>
                <w:color w:val="000000"/>
                <w:lang w:eastAsia="pl-PL"/>
              </w:rPr>
              <w:t>172,1</w:t>
            </w:r>
          </w:p>
        </w:tc>
        <w:tc>
          <w:tcPr>
            <w:tcW w:w="148" w:type="dxa"/>
            <w:tcBorders/>
            <w:shd w:fill="auto" w:val="clear"/>
            <w:vAlign w:val="center"/>
          </w:tcPr>
          <w:p>
            <w:pPr>
              <w:pStyle w:val="Normal"/>
              <w:spacing w:lineRule="auto" w:line="240" w:before="0" w:after="0"/>
              <w:rPr>
                <w:rFonts w:ascii="Times New Roman" w:hAnsi="Times New Roman" w:eastAsia="Times New Roman"/>
                <w:sz w:val="20"/>
                <w:szCs w:val="20"/>
                <w:lang w:eastAsia="pl-PL"/>
              </w:rPr>
            </w:pPr>
            <w:r>
              <w:rPr>
                <w:rFonts w:eastAsia="Times New Roman" w:ascii="Times New Roman" w:hAnsi="Times New Roman"/>
                <w:sz w:val="20"/>
                <w:szCs w:val="20"/>
                <w:lang w:eastAsia="pl-PL"/>
              </w:rPr>
            </w:r>
          </w:p>
        </w:tc>
      </w:tr>
      <w:tr>
        <w:trPr>
          <w:trHeight w:val="310" w:hRule="atLeast"/>
        </w:trPr>
        <w:tc>
          <w:tcPr>
            <w:tcW w:w="1193" w:type="dxa"/>
            <w:tcBorders>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5" w:type="dxa"/>
            </w:tcMar>
            <w:vAlign w:val="center"/>
          </w:tcPr>
          <w:p>
            <w:pPr>
              <w:pStyle w:val="Normal"/>
              <w:spacing w:lineRule="auto" w:line="240" w:before="0" w:after="0"/>
              <w:jc w:val="center"/>
              <w:rPr>
                <w:rFonts w:eastAsia="Times New Roman" w:cs="Calibri"/>
                <w:b/>
                <w:b/>
                <w:bCs/>
                <w:color w:val="000000"/>
                <w:lang w:eastAsia="pl-PL"/>
              </w:rPr>
            </w:pPr>
            <w:r>
              <w:rPr>
                <w:rFonts w:eastAsia="Times New Roman" w:cs="Calibri"/>
                <w:b/>
                <w:bCs/>
                <w:color w:val="000000"/>
                <w:lang w:eastAsia="pl-PL"/>
              </w:rPr>
              <w:t>2475011</w:t>
            </w:r>
          </w:p>
        </w:tc>
        <w:tc>
          <w:tcPr>
            <w:tcW w:w="2003"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rPr>
                <w:rFonts w:eastAsia="Times New Roman" w:cs="Calibri"/>
                <w:b/>
                <w:b/>
                <w:bCs/>
                <w:color w:val="000000"/>
                <w:lang w:eastAsia="pl-PL"/>
              </w:rPr>
            </w:pPr>
            <w:r>
              <w:rPr>
                <w:rFonts w:eastAsia="Times New Roman" w:cs="Calibri"/>
                <w:b/>
                <w:bCs/>
                <w:color w:val="000000"/>
                <w:lang w:eastAsia="pl-PL"/>
              </w:rPr>
              <w:t>Sosnowiec</w:t>
            </w:r>
          </w:p>
        </w:tc>
        <w:tc>
          <w:tcPr>
            <w:tcW w:w="964"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rFonts w:eastAsia="Times New Roman" w:cs="Calibri"/>
                <w:b/>
                <w:b/>
                <w:bCs/>
                <w:color w:val="000000"/>
                <w:lang w:eastAsia="pl-PL"/>
              </w:rPr>
            </w:pPr>
            <w:r>
              <w:rPr>
                <w:rFonts w:eastAsia="Times New Roman" w:cs="Calibri"/>
                <w:b/>
                <w:bCs/>
                <w:color w:val="000000"/>
                <w:lang w:eastAsia="pl-PL"/>
              </w:rPr>
              <w:t>21 916</w:t>
            </w:r>
          </w:p>
        </w:tc>
        <w:tc>
          <w:tcPr>
            <w:tcW w:w="985"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rFonts w:eastAsia="Times New Roman" w:cs="Calibri"/>
                <w:b/>
                <w:b/>
                <w:bCs/>
                <w:color w:val="000000"/>
                <w:lang w:eastAsia="pl-PL"/>
              </w:rPr>
            </w:pPr>
            <w:r>
              <w:rPr>
                <w:rFonts w:eastAsia="Times New Roman" w:cs="Calibri"/>
                <w:b/>
                <w:bCs/>
                <w:color w:val="000000"/>
                <w:lang w:eastAsia="pl-PL"/>
              </w:rPr>
              <w:t>22 294</w:t>
            </w:r>
          </w:p>
        </w:tc>
        <w:tc>
          <w:tcPr>
            <w:tcW w:w="963"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rFonts w:eastAsia="Times New Roman" w:cs="Calibri"/>
                <w:b/>
                <w:b/>
                <w:bCs/>
                <w:color w:val="000000"/>
                <w:lang w:eastAsia="pl-PL"/>
              </w:rPr>
            </w:pPr>
            <w:r>
              <w:rPr>
                <w:rFonts w:eastAsia="Times New Roman" w:cs="Calibri"/>
                <w:b/>
                <w:bCs/>
                <w:color w:val="000000"/>
                <w:lang w:eastAsia="pl-PL"/>
              </w:rPr>
              <w:t>110</w:t>
            </w:r>
          </w:p>
        </w:tc>
        <w:tc>
          <w:tcPr>
            <w:tcW w:w="964"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rFonts w:eastAsia="Times New Roman" w:cs="Calibri"/>
                <w:b/>
                <w:b/>
                <w:bCs/>
                <w:color w:val="000000"/>
                <w:lang w:eastAsia="pl-PL"/>
              </w:rPr>
            </w:pPr>
            <w:r>
              <w:rPr>
                <w:rFonts w:eastAsia="Times New Roman" w:cs="Calibri"/>
                <w:b/>
                <w:bCs/>
                <w:color w:val="000000"/>
                <w:lang w:eastAsia="pl-PL"/>
              </w:rPr>
              <w:t>113</w:t>
            </w:r>
          </w:p>
        </w:tc>
        <w:tc>
          <w:tcPr>
            <w:tcW w:w="972"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rFonts w:eastAsia="Times New Roman" w:cs="Calibri"/>
                <w:b/>
                <w:b/>
                <w:bCs/>
                <w:color w:val="000000"/>
                <w:lang w:eastAsia="pl-PL"/>
              </w:rPr>
            </w:pPr>
            <w:r>
              <w:rPr>
                <w:rFonts w:eastAsia="Times New Roman" w:cs="Calibri"/>
                <w:b/>
                <w:bCs/>
                <w:color w:val="000000"/>
                <w:lang w:eastAsia="pl-PL"/>
              </w:rPr>
              <w:t>190</w:t>
            </w:r>
          </w:p>
        </w:tc>
        <w:tc>
          <w:tcPr>
            <w:tcW w:w="970"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rFonts w:eastAsia="Times New Roman" w:cs="Calibri"/>
                <w:b/>
                <w:b/>
                <w:bCs/>
                <w:color w:val="000000"/>
                <w:lang w:eastAsia="pl-PL"/>
              </w:rPr>
            </w:pPr>
            <w:r>
              <w:rPr>
                <w:rFonts w:eastAsia="Times New Roman" w:cs="Calibri"/>
                <w:b/>
                <w:bCs/>
                <w:color w:val="000000"/>
                <w:lang w:eastAsia="pl-PL"/>
              </w:rPr>
              <w:t>198,4</w:t>
            </w:r>
          </w:p>
        </w:tc>
        <w:tc>
          <w:tcPr>
            <w:tcW w:w="148" w:type="dxa"/>
            <w:tcBorders/>
            <w:shd w:fill="auto" w:val="clear"/>
            <w:vAlign w:val="center"/>
          </w:tcPr>
          <w:p>
            <w:pPr>
              <w:pStyle w:val="Normal"/>
              <w:spacing w:lineRule="auto" w:line="240" w:before="0" w:after="0"/>
              <w:rPr>
                <w:rFonts w:ascii="Times New Roman" w:hAnsi="Times New Roman" w:eastAsia="Times New Roman"/>
                <w:sz w:val="20"/>
                <w:szCs w:val="20"/>
                <w:lang w:eastAsia="pl-PL"/>
              </w:rPr>
            </w:pPr>
            <w:r>
              <w:rPr>
                <w:rFonts w:eastAsia="Times New Roman" w:ascii="Times New Roman" w:hAnsi="Times New Roman"/>
                <w:sz w:val="20"/>
                <w:szCs w:val="20"/>
                <w:lang w:eastAsia="pl-PL"/>
              </w:rPr>
            </w:r>
          </w:p>
        </w:tc>
      </w:tr>
    </w:tbl>
    <w:p>
      <w:pPr>
        <w:pStyle w:val="Normal"/>
        <w:rPr/>
      </w:pPr>
      <w:r>
        <w:rPr>
          <w:rFonts w:cs="Calibri" w:cstheme="minorHAnsi"/>
          <w:sz w:val="18"/>
          <w:szCs w:val="18"/>
        </w:rPr>
        <w:t>Dane na podstawie Bazy Danych Lokalnych GUS</w:t>
      </w:r>
    </w:p>
    <w:p>
      <w:pPr>
        <w:pStyle w:val="Normal"/>
        <w:jc w:val="both"/>
        <w:rPr/>
      </w:pPr>
      <w:r>
        <w:rPr/>
        <w:t>Tendencje te są utrzymane również w zestawieniu dotyczącym klasyfikacji wielkościowej dot. liczby pracujących w przedsiębiorstwach. Widać tutaj największą dynamikę w sferze mikroprzedsiębiorczości, która stanowi ponad 96% wszystkich podmiotów wpisanych do rejestru REGON. Warto również zwrócić  uwagę na bardzo stopniowo zmniejszającą się liczbę małych</w:t>
        <w:br/>
        <w:t>i średnich podmiotów zwłaszcza, że występuje to u prawie wszystkich sąsiadów.</w:t>
      </w:r>
    </w:p>
    <w:p>
      <w:pPr>
        <w:pStyle w:val="Normal"/>
        <w:rPr/>
      </w:pPr>
      <w:r>
        <w:rPr/>
        <w:drawing>
          <wp:inline distT="0" distB="0" distL="0" distR="0">
            <wp:extent cx="5760720" cy="1388745"/>
            <wp:effectExtent l="0" t="0" r="0" b="0"/>
            <wp:docPr id="8" name="Obraz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10" descr=""/>
                    <pic:cNvPicPr>
                      <a:picLocks noChangeAspect="1" noChangeArrowheads="1"/>
                    </pic:cNvPicPr>
                  </pic:nvPicPr>
                  <pic:blipFill>
                    <a:blip r:embed="rId9"/>
                    <a:stretch>
                      <a:fillRect/>
                    </a:stretch>
                  </pic:blipFill>
                  <pic:spPr bwMode="auto">
                    <a:xfrm>
                      <a:off x="0" y="0"/>
                      <a:ext cx="5760720" cy="1388745"/>
                    </a:xfrm>
                    <a:prstGeom prst="rect">
                      <a:avLst/>
                    </a:prstGeom>
                  </pic:spPr>
                </pic:pic>
              </a:graphicData>
            </a:graphic>
          </wp:inline>
        </w:drawing>
      </w:r>
      <w:r>
        <w:rPr>
          <w:rFonts w:cs="Calibri" w:cstheme="minorHAnsi"/>
          <w:sz w:val="18"/>
          <w:szCs w:val="18"/>
        </w:rPr>
        <w:t>Dane na podstawie Bazy Danych Lokalnych GUS</w:t>
      </w:r>
    </w:p>
    <w:p>
      <w:pPr>
        <w:pStyle w:val="Normal"/>
        <w:spacing w:lineRule="auto" w:line="240" w:before="0" w:after="0"/>
        <w:jc w:val="both"/>
        <w:rPr/>
      </w:pPr>
      <w:r>
        <w:rPr>
          <w:rFonts w:cs="Calibri"/>
        </w:rPr>
        <w:t>Metropolitalność w pigułce świetnie pokazują poniższe ryciny pobrane ze strony INFOGZM (</w:t>
      </w:r>
      <w:hyperlink r:id="rId10">
        <w:r>
          <w:rPr>
            <w:rStyle w:val="Czeinternetowe"/>
            <w:rFonts w:cs="Calibri"/>
          </w:rPr>
          <w:t>http://infogzm.metropoliagzm.pl/mapy/przeplywy.html</w:t>
        </w:r>
      </w:hyperlink>
      <w:r>
        <w:rPr>
          <w:rFonts w:cs="Calibri"/>
        </w:rPr>
        <w:t xml:space="preserve">) obrazujące ilość osób i kierunki, z których docierają do Sosnowca oraz dane dotyczące kierunków i ilości osób wyjeżdżających z Sosnowca. Mimo, że dane pochodzą z 2016 r. to jest pewne, że trendy te się utrzymują pomimo pandemii </w:t>
        <w:br/>
        <w:t>(może jedynie miały wpływ na wybór przez mieszkańców innego środka transportu).</w:t>
      </w:r>
    </w:p>
    <w:p>
      <w:pPr>
        <w:sectPr>
          <w:footerReference w:type="default" r:id="rId11"/>
          <w:type w:val="nextPage"/>
          <w:pgSz w:w="11906" w:h="16838"/>
          <w:pgMar w:left="1417" w:right="1417" w:header="0" w:top="1417" w:footer="708" w:bottom="1417" w:gutter="0"/>
          <w:pgNumType w:fmt="decimal"/>
          <w:formProt w:val="false"/>
          <w:textDirection w:val="lrTb"/>
          <w:docGrid w:type="default" w:linePitch="360" w:charSpace="4096"/>
        </w:sectPr>
        <w:pStyle w:val="Normal"/>
        <w:spacing w:lineRule="auto" w:line="240" w:before="0" w:after="0"/>
        <w:jc w:val="both"/>
        <w:rPr>
          <w:rFonts w:cs="Calibri"/>
        </w:rPr>
      </w:pPr>
      <w:r>
        <w:rPr>
          <w:rFonts w:cs="Calibri"/>
        </w:rPr>
        <w:t>Na załączonych grafikach widać, że mieszkańcy najczęściej podróżują za pracą właśnie pomiędzy Sosnowcem, Dąbrową Górniczą, Będzinem, Czeladzią i oczywiście Katowicami.</w:t>
      </w:r>
    </w:p>
    <w:p>
      <w:pPr>
        <w:pStyle w:val="Normal"/>
        <w:spacing w:lineRule="auto" w:line="240" w:before="0" w:after="0"/>
        <w:jc w:val="both"/>
        <w:rPr>
          <w:rFonts w:cs="Calibri"/>
        </w:rPr>
      </w:pPr>
      <w:r>
        <w:rPr/>
        <w:drawing>
          <wp:inline distT="0" distB="8890" distL="0" distR="2540">
            <wp:extent cx="9351010" cy="4868545"/>
            <wp:effectExtent l="0" t="0" r="0" b="0"/>
            <wp:docPr id="10" name="Obraz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1" descr=""/>
                    <pic:cNvPicPr>
                      <a:picLocks noChangeAspect="1" noChangeArrowheads="1"/>
                    </pic:cNvPicPr>
                  </pic:nvPicPr>
                  <pic:blipFill>
                    <a:blip r:embed="rId12"/>
                    <a:stretch>
                      <a:fillRect/>
                    </a:stretch>
                  </pic:blipFill>
                  <pic:spPr bwMode="auto">
                    <a:xfrm>
                      <a:off x="0" y="0"/>
                      <a:ext cx="9351010" cy="4868545"/>
                    </a:xfrm>
                    <a:prstGeom prst="rect">
                      <a:avLst/>
                    </a:prstGeom>
                  </pic:spPr>
                </pic:pic>
              </a:graphicData>
            </a:graphic>
          </wp:inline>
        </w:drawing>
      </w:r>
    </w:p>
    <w:p>
      <w:pPr>
        <w:pStyle w:val="Normal"/>
        <w:spacing w:lineRule="auto" w:line="240" w:before="0" w:after="0"/>
        <w:jc w:val="both"/>
        <w:rPr>
          <w:rFonts w:cs="Calibri"/>
        </w:rPr>
      </w:pPr>
      <w:r>
        <w:rPr>
          <w:rFonts w:cs="Calibri"/>
        </w:rPr>
      </w:r>
    </w:p>
    <w:p>
      <w:pPr>
        <w:pStyle w:val="Normal"/>
        <w:spacing w:lineRule="auto" w:line="240" w:before="0" w:after="0"/>
        <w:jc w:val="both"/>
        <w:rPr>
          <w:rFonts w:cs="Calibri"/>
        </w:rPr>
      </w:pPr>
      <w:r>
        <w:rPr>
          <w:rFonts w:cs="Calibri"/>
        </w:rPr>
      </w:r>
    </w:p>
    <w:p>
      <w:pPr>
        <w:pStyle w:val="Normal"/>
        <w:spacing w:lineRule="auto" w:line="240" w:before="0" w:after="0"/>
        <w:jc w:val="both"/>
        <w:rPr>
          <w:rFonts w:cs="Calibri"/>
        </w:rPr>
      </w:pPr>
      <w:r>
        <w:rPr/>
        <w:drawing>
          <wp:inline distT="0" distB="0" distL="0" distR="0">
            <wp:extent cx="9360535" cy="4864100"/>
            <wp:effectExtent l="0" t="0" r="0" b="0"/>
            <wp:docPr id="11" name="Obraz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2" descr=""/>
                    <pic:cNvPicPr>
                      <a:picLocks noChangeAspect="1" noChangeArrowheads="1"/>
                    </pic:cNvPicPr>
                  </pic:nvPicPr>
                  <pic:blipFill>
                    <a:blip r:embed="rId13"/>
                    <a:stretch>
                      <a:fillRect/>
                    </a:stretch>
                  </pic:blipFill>
                  <pic:spPr bwMode="auto">
                    <a:xfrm>
                      <a:off x="0" y="0"/>
                      <a:ext cx="9360535" cy="4864100"/>
                    </a:xfrm>
                    <a:prstGeom prst="rect">
                      <a:avLst/>
                    </a:prstGeom>
                  </pic:spPr>
                </pic:pic>
              </a:graphicData>
            </a:graphic>
          </wp:inline>
        </w:drawing>
      </w:r>
    </w:p>
    <w:p>
      <w:pPr>
        <w:pStyle w:val="Normal"/>
        <w:spacing w:lineRule="auto" w:line="240" w:before="0" w:after="0"/>
        <w:jc w:val="both"/>
        <w:rPr>
          <w:rFonts w:cs="Calibri"/>
        </w:rPr>
      </w:pPr>
      <w:r>
        <w:rPr>
          <w:rFonts w:cs="Calibri"/>
        </w:rPr>
      </w:r>
    </w:p>
    <w:p>
      <w:pPr>
        <w:pStyle w:val="Normal"/>
        <w:spacing w:lineRule="auto" w:line="240" w:before="0" w:after="0"/>
        <w:jc w:val="both"/>
        <w:rPr>
          <w:rFonts w:cs="Calibri"/>
        </w:rPr>
      </w:pPr>
      <w:r>
        <w:rPr>
          <w:rFonts w:cs="Calibri"/>
        </w:rPr>
      </w:r>
    </w:p>
    <w:p>
      <w:pPr>
        <w:sectPr>
          <w:footerReference w:type="default" r:id="rId14"/>
          <w:type w:val="nextPage"/>
          <w:pgSz w:orient="landscape" w:w="16838" w:h="11906"/>
          <w:pgMar w:left="1418" w:right="1418" w:header="0" w:top="1418" w:footer="709" w:bottom="1418" w:gutter="0"/>
          <w:pgNumType w:fmt="decimal"/>
          <w:formProt w:val="false"/>
          <w:textDirection w:val="lrTb"/>
          <w:docGrid w:type="default" w:linePitch="360" w:charSpace="4096"/>
        </w:sectPr>
        <w:pStyle w:val="Normal"/>
        <w:spacing w:lineRule="auto" w:line="240" w:before="0" w:after="0"/>
        <w:jc w:val="both"/>
        <w:rPr>
          <w:rFonts w:cs="Calibri"/>
        </w:rPr>
      </w:pPr>
      <w:r>
        <w:rPr>
          <w:rFonts w:cs="Calibri"/>
        </w:rPr>
      </w:r>
    </w:p>
    <w:p>
      <w:pPr>
        <w:pStyle w:val="Normal"/>
        <w:spacing w:lineRule="auto" w:line="240" w:before="0" w:after="0"/>
        <w:jc w:val="both"/>
        <w:rPr>
          <w:rFonts w:cs="Calibri"/>
        </w:rPr>
      </w:pPr>
      <w:r>
        <w:rPr>
          <w:rFonts w:cs="Calibri"/>
        </w:rPr>
      </w:r>
    </w:p>
    <w:p>
      <w:pPr>
        <w:pStyle w:val="Nagwek1"/>
        <w:rPr/>
      </w:pPr>
      <w:r>
        <w:rPr/>
        <w:t xml:space="preserve">Działania Wydziału Rozwoju i Przedsiębiorczości </w:t>
      </w:r>
    </w:p>
    <w:p>
      <w:pPr>
        <w:pStyle w:val="Normal"/>
        <w:spacing w:lineRule="auto" w:line="240" w:before="0" w:after="0"/>
        <w:jc w:val="both"/>
        <w:rPr>
          <w:rFonts w:cs="Calibri"/>
        </w:rPr>
      </w:pPr>
      <w:r>
        <w:rPr>
          <w:rFonts w:cs="Calibri"/>
        </w:rPr>
        <w:t>Urząd Miejski w Sosnowcu poprzez rozmaite programy oraz zadania realizowane między innymi przez merytoryczny wydział – Wydział Rozwoju i Przedsiębiorczości (WRP) – od lat wspiera rozwój lokalny, wzmacnia przedsiębiorczość oraz poprawia warunki do prowadzenia działalności gospodarczej za pomocą następujących programów, projektów oraz działań, o których już wielokrotnie była mowa:</w:t>
      </w:r>
    </w:p>
    <w:p>
      <w:pPr>
        <w:pStyle w:val="Normal"/>
        <w:spacing w:lineRule="auto" w:line="240" w:before="0" w:after="0"/>
        <w:jc w:val="both"/>
        <w:rPr>
          <w:rFonts w:cs="Calibri"/>
        </w:rPr>
      </w:pPr>
      <w:r>
        <w:rPr>
          <w:rFonts w:cs="Calibri"/>
        </w:rPr>
        <w:t>(pakiet Przedsiębiorcy czy akcje w mediach społecznościowych wspierające lokalnych przedsiębiorców).</w:t>
      </w:r>
    </w:p>
    <w:p>
      <w:pPr>
        <w:pStyle w:val="Normal"/>
        <w:spacing w:lineRule="auto" w:line="240" w:before="0" w:after="0"/>
        <w:jc w:val="both"/>
        <w:rPr>
          <w:rFonts w:cs="Calibri"/>
        </w:rPr>
      </w:pPr>
      <w:r>
        <w:rPr>
          <w:rFonts w:cs="Calibri"/>
        </w:rPr>
      </w:r>
    </w:p>
    <w:p>
      <w:pPr>
        <w:pStyle w:val="Normal"/>
        <w:spacing w:before="0" w:after="0"/>
        <w:jc w:val="both"/>
        <w:rPr>
          <w:rFonts w:cs="Calibri"/>
        </w:rPr>
      </w:pPr>
      <w:r>
        <w:rPr>
          <w:rFonts w:cs="Calibri"/>
        </w:rPr>
        <w:t>Oprócz tego prowadzi sprawy związane z obsługą inwestorów, którym przedstawiane są możliwości lokalizacji inwestycji na terenie miasta. Stale aktualizowana jest lista ofert inwestycyjnych, istotne</w:t>
        <w:br/>
        <w:t xml:space="preserve">z punktu widzenia działalności firmy informacje przekazywane są za pośrednictwem strony internetowej miasta w zakładce Inwestuj w Sosnowcu. </w:t>
      </w:r>
    </w:p>
    <w:p>
      <w:pPr>
        <w:pStyle w:val="Normal"/>
        <w:spacing w:before="0" w:after="0"/>
        <w:jc w:val="both"/>
        <w:rPr>
          <w:rFonts w:cs="Calibri"/>
        </w:rPr>
      </w:pPr>
      <w:r>
        <w:rPr>
          <w:rFonts w:cs="Calibri"/>
        </w:rPr>
      </w:r>
    </w:p>
    <w:p>
      <w:pPr>
        <w:pStyle w:val="Normal"/>
        <w:spacing w:before="0" w:after="0"/>
        <w:jc w:val="both"/>
        <w:rPr>
          <w:rFonts w:cs="Calibri"/>
        </w:rPr>
      </w:pPr>
      <w:r>
        <w:rPr>
          <w:rFonts w:cs="Calibri"/>
        </w:rPr>
        <w:t>Elementem dbania o lokalny rynek pracy jest także systematyczna współpraca z KSSE i innymi podmiotami otoczenia biznesu. Do przykładów takich działań należą:</w:t>
      </w:r>
    </w:p>
    <w:p>
      <w:pPr>
        <w:pStyle w:val="Normal"/>
        <w:spacing w:before="0" w:after="0"/>
        <w:jc w:val="both"/>
        <w:rPr>
          <w:rFonts w:ascii="Calibri" w:hAnsi="Calibri" w:cs="Calibri" w:asciiTheme="minorHAnsi" w:cstheme="minorHAnsi" w:hAnsiTheme="minorHAnsi"/>
        </w:rPr>
      </w:pPr>
      <w:r>
        <w:rPr>
          <w:rFonts w:cs="Calibri" w:cstheme="minorHAnsi"/>
        </w:rPr>
        <w:t>- umowa zawarta w 2021 r. z Katowicką Specjalną Strefą Ekonomiczną dotycząca współpracy w zakresie aktywizacji gospodarczej nieruchomości;</w:t>
      </w:r>
    </w:p>
    <w:p>
      <w:pPr>
        <w:pStyle w:val="Normal"/>
        <w:spacing w:before="0" w:after="0"/>
        <w:jc w:val="both"/>
        <w:rPr>
          <w:rFonts w:ascii="Calibri" w:hAnsi="Calibri" w:cs="Calibri" w:asciiTheme="minorHAnsi" w:cstheme="minorHAnsi" w:hAnsiTheme="minorHAnsi"/>
        </w:rPr>
      </w:pPr>
      <w:r>
        <w:rPr>
          <w:rFonts w:cs="Calibri" w:cstheme="minorHAnsi"/>
        </w:rPr>
        <w:t>- umowa zawarta z Włoską Izbą Przemysłowo-Handlowa w Polsce mającą siedzibę w Sosnowcu</w:t>
        <w:br/>
        <w:t>w zakresie organizacji w 2022 r. International Automotive Business Meeting 5th Edition.</w:t>
      </w:r>
    </w:p>
    <w:p>
      <w:pPr>
        <w:pStyle w:val="Normal"/>
        <w:spacing w:lineRule="auto" w:line="240" w:before="0" w:after="0"/>
        <w:jc w:val="both"/>
        <w:rPr>
          <w:rFonts w:cs="Calibri"/>
        </w:rPr>
      </w:pPr>
      <w:r>
        <w:rPr>
          <w:rFonts w:cs="Calibri"/>
        </w:rPr>
      </w:r>
    </w:p>
    <w:p>
      <w:pPr>
        <w:pStyle w:val="Normal"/>
        <w:spacing w:lineRule="auto" w:line="240" w:before="0" w:after="0"/>
        <w:jc w:val="both"/>
        <w:rPr>
          <w:rFonts w:cs="Calibri"/>
        </w:rPr>
      </w:pPr>
      <w:r>
        <w:rPr>
          <w:rFonts w:cs="Calibri"/>
        </w:rPr>
        <w:t>Poniżej zamieszczono dane statystyczne dot. ilości obsłużonych inwestorów i prowadzonych spraw w badanym okresie:</w:t>
      </w:r>
    </w:p>
    <w:tbl>
      <w:tblPr>
        <w:tblW w:w="9209" w:type="dxa"/>
        <w:jc w:val="left"/>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val="00a0"/>
      </w:tblPr>
      <w:tblGrid>
        <w:gridCol w:w="3069"/>
        <w:gridCol w:w="3070"/>
        <w:gridCol w:w="3070"/>
      </w:tblGrid>
      <w:tr>
        <w:trPr/>
        <w:tc>
          <w:tcPr>
            <w:tcW w:w="30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jc w:val="center"/>
              <w:rPr>
                <w:rFonts w:cs="Calibri"/>
                <w:iCs/>
              </w:rPr>
            </w:pPr>
            <w:r>
              <w:rPr>
                <w:rFonts w:cs="Calibri"/>
                <w:iCs/>
              </w:rPr>
              <w:t>Rok</w:t>
            </w:r>
          </w:p>
        </w:tc>
        <w:tc>
          <w:tcPr>
            <w:tcW w:w="30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jc w:val="center"/>
              <w:rPr>
                <w:rFonts w:cs="Calibri"/>
                <w:iCs/>
              </w:rPr>
            </w:pPr>
            <w:r>
              <w:rPr>
                <w:rFonts w:cs="Calibri"/>
                <w:iCs/>
              </w:rPr>
              <w:t>Liczba odbytych spotkań</w:t>
            </w:r>
          </w:p>
        </w:tc>
        <w:tc>
          <w:tcPr>
            <w:tcW w:w="30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jc w:val="center"/>
              <w:rPr>
                <w:rFonts w:cs="Calibri"/>
                <w:iCs/>
              </w:rPr>
            </w:pPr>
            <w:r>
              <w:rPr>
                <w:rFonts w:cs="Calibri"/>
                <w:iCs/>
              </w:rPr>
            </w:r>
          </w:p>
          <w:p>
            <w:pPr>
              <w:pStyle w:val="Normal"/>
              <w:spacing w:lineRule="auto" w:line="240" w:before="0" w:after="0"/>
              <w:jc w:val="center"/>
              <w:rPr>
                <w:rFonts w:cs="Calibri"/>
                <w:iCs/>
              </w:rPr>
            </w:pPr>
            <w:r>
              <w:rPr>
                <w:rFonts w:cs="Calibri"/>
                <w:iCs/>
              </w:rPr>
              <w:t>Liczba prowadzonych spraw</w:t>
            </w:r>
          </w:p>
          <w:p>
            <w:pPr>
              <w:pStyle w:val="Normal"/>
              <w:spacing w:lineRule="auto" w:line="240" w:before="0" w:after="0"/>
              <w:jc w:val="center"/>
              <w:rPr>
                <w:rFonts w:cs="Calibri"/>
                <w:iCs/>
              </w:rPr>
            </w:pPr>
            <w:r>
              <w:rPr>
                <w:rFonts w:cs="Calibri"/>
                <w:iCs/>
              </w:rPr>
            </w:r>
          </w:p>
        </w:tc>
      </w:tr>
      <w:tr>
        <w:trPr/>
        <w:tc>
          <w:tcPr>
            <w:tcW w:w="30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jc w:val="center"/>
              <w:rPr>
                <w:rFonts w:cs="Calibri"/>
                <w:iCs/>
              </w:rPr>
            </w:pPr>
            <w:r>
              <w:rPr>
                <w:rFonts w:cs="Calibri"/>
                <w:iCs/>
              </w:rPr>
              <w:t>2018</w:t>
            </w:r>
          </w:p>
        </w:tc>
        <w:tc>
          <w:tcPr>
            <w:tcW w:w="30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jc w:val="center"/>
              <w:rPr>
                <w:rFonts w:cs="Calibri"/>
                <w:iCs/>
              </w:rPr>
            </w:pPr>
            <w:r>
              <w:rPr>
                <w:rFonts w:cs="Calibri"/>
                <w:iCs/>
              </w:rPr>
              <w:t>76</w:t>
            </w:r>
          </w:p>
        </w:tc>
        <w:tc>
          <w:tcPr>
            <w:tcW w:w="30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jc w:val="center"/>
              <w:rPr>
                <w:rFonts w:cs="Calibri"/>
                <w:iCs/>
              </w:rPr>
            </w:pPr>
            <w:r>
              <w:rPr>
                <w:rFonts w:cs="Calibri"/>
                <w:iCs/>
              </w:rPr>
              <w:t>50</w:t>
            </w:r>
          </w:p>
        </w:tc>
      </w:tr>
      <w:tr>
        <w:trPr/>
        <w:tc>
          <w:tcPr>
            <w:tcW w:w="30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jc w:val="center"/>
              <w:rPr>
                <w:rFonts w:cs="Calibri"/>
                <w:iCs/>
              </w:rPr>
            </w:pPr>
            <w:r>
              <w:rPr>
                <w:rFonts w:cs="Calibri"/>
                <w:iCs/>
              </w:rPr>
              <w:t>2019</w:t>
            </w:r>
          </w:p>
        </w:tc>
        <w:tc>
          <w:tcPr>
            <w:tcW w:w="30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jc w:val="center"/>
              <w:rPr>
                <w:rFonts w:cs="Calibri"/>
                <w:iCs/>
              </w:rPr>
            </w:pPr>
            <w:r>
              <w:rPr>
                <w:rFonts w:cs="Calibri"/>
                <w:iCs/>
              </w:rPr>
              <w:t>76</w:t>
            </w:r>
          </w:p>
        </w:tc>
        <w:tc>
          <w:tcPr>
            <w:tcW w:w="30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jc w:val="center"/>
              <w:rPr>
                <w:rFonts w:cs="Calibri"/>
                <w:iCs/>
              </w:rPr>
            </w:pPr>
            <w:r>
              <w:rPr>
                <w:rFonts w:cs="Calibri"/>
                <w:iCs/>
              </w:rPr>
              <w:t>27</w:t>
            </w:r>
          </w:p>
        </w:tc>
      </w:tr>
      <w:tr>
        <w:trPr/>
        <w:tc>
          <w:tcPr>
            <w:tcW w:w="30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jc w:val="center"/>
              <w:rPr>
                <w:rFonts w:cs="Calibri"/>
                <w:iCs/>
              </w:rPr>
            </w:pPr>
            <w:r>
              <w:rPr>
                <w:rFonts w:cs="Calibri"/>
                <w:iCs/>
              </w:rPr>
              <w:t>2020</w:t>
            </w:r>
          </w:p>
        </w:tc>
        <w:tc>
          <w:tcPr>
            <w:tcW w:w="30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jc w:val="center"/>
              <w:rPr>
                <w:rFonts w:cs="Calibri"/>
                <w:iCs/>
              </w:rPr>
            </w:pPr>
            <w:r>
              <w:rPr>
                <w:rFonts w:cs="Calibri"/>
                <w:iCs/>
              </w:rPr>
              <w:t>45</w:t>
            </w:r>
          </w:p>
        </w:tc>
        <w:tc>
          <w:tcPr>
            <w:tcW w:w="30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jc w:val="center"/>
              <w:rPr>
                <w:rFonts w:cs="Calibri"/>
                <w:iCs/>
              </w:rPr>
            </w:pPr>
            <w:r>
              <w:rPr>
                <w:rFonts w:cs="Calibri"/>
                <w:iCs/>
              </w:rPr>
              <w:t>27</w:t>
            </w:r>
          </w:p>
        </w:tc>
      </w:tr>
      <w:tr>
        <w:trPr/>
        <w:tc>
          <w:tcPr>
            <w:tcW w:w="30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jc w:val="center"/>
              <w:rPr>
                <w:rFonts w:cs="Calibri"/>
                <w:iCs/>
              </w:rPr>
            </w:pPr>
            <w:r>
              <w:rPr>
                <w:rFonts w:cs="Calibri"/>
                <w:iCs/>
              </w:rPr>
              <w:t xml:space="preserve"> </w:t>
            </w:r>
            <w:r>
              <w:rPr>
                <w:rFonts w:cs="Calibri"/>
                <w:iCs/>
              </w:rPr>
              <w:t>2021</w:t>
            </w:r>
          </w:p>
        </w:tc>
        <w:tc>
          <w:tcPr>
            <w:tcW w:w="30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jc w:val="center"/>
              <w:rPr>
                <w:rFonts w:cs="Calibri"/>
                <w:iCs/>
              </w:rPr>
            </w:pPr>
            <w:r>
              <w:rPr>
                <w:rFonts w:cs="Calibri"/>
                <w:iCs/>
              </w:rPr>
              <w:t>69</w:t>
            </w:r>
          </w:p>
        </w:tc>
        <w:tc>
          <w:tcPr>
            <w:tcW w:w="30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jc w:val="center"/>
              <w:rPr>
                <w:rFonts w:cs="Calibri"/>
                <w:iCs/>
              </w:rPr>
            </w:pPr>
            <w:r>
              <w:rPr>
                <w:rFonts w:cs="Calibri"/>
                <w:iCs/>
              </w:rPr>
              <w:t>30</w:t>
            </w:r>
          </w:p>
        </w:tc>
      </w:tr>
    </w:tbl>
    <w:p>
      <w:pPr>
        <w:pStyle w:val="Normal"/>
        <w:spacing w:before="0" w:after="120"/>
        <w:jc w:val="both"/>
        <w:rPr>
          <w:rFonts w:cs="Calibri"/>
        </w:rPr>
      </w:pPr>
      <w:r>
        <w:rPr>
          <w:rFonts w:cs="Calibri"/>
        </w:rPr>
        <w:t>W Wydziale prowadzone są czynności związane z rejestracją i wyrejestrowywaniem działalności</w:t>
        <w:br/>
        <w:t xml:space="preserve">z Centralnej Ewidencji i Informacji o Działalności Gospodarczej. </w:t>
      </w:r>
    </w:p>
    <w:p>
      <w:pPr>
        <w:pStyle w:val="Normal"/>
        <w:spacing w:before="0" w:after="120"/>
        <w:jc w:val="both"/>
        <w:rPr>
          <w:rFonts w:cs="Calibri"/>
        </w:rPr>
      </w:pPr>
      <w:r>
        <w:rPr>
          <w:rFonts w:cs="Calibri"/>
        </w:rPr>
        <w:t>Zestawienie danych statystycznych w ujęciu rocznym z ostatnich lat wygląda następująco:</w:t>
      </w:r>
    </w:p>
    <w:tbl>
      <w:tblPr>
        <w:tblW w:w="9062" w:type="dxa"/>
        <w:jc w:val="left"/>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val="00a0"/>
      </w:tblPr>
      <w:tblGrid>
        <w:gridCol w:w="1412"/>
        <w:gridCol w:w="3119"/>
        <w:gridCol w:w="3119"/>
        <w:gridCol w:w="1411"/>
      </w:tblGrid>
      <w:tr>
        <w:trPr/>
        <w:tc>
          <w:tcPr>
            <w:tcW w:w="14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jc w:val="center"/>
              <w:rPr>
                <w:rFonts w:cs="Calibri"/>
                <w:iCs/>
              </w:rPr>
            </w:pPr>
            <w:r>
              <w:rPr>
                <w:rFonts w:cs="Calibri"/>
                <w:iCs/>
              </w:rPr>
              <w:t>Rok</w:t>
            </w:r>
          </w:p>
        </w:tc>
        <w:tc>
          <w:tcPr>
            <w:tcW w:w="31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jc w:val="center"/>
              <w:rPr>
                <w:rFonts w:cs="Calibri"/>
                <w:iCs/>
              </w:rPr>
            </w:pPr>
            <w:r>
              <w:rPr>
                <w:rFonts w:cs="Calibri"/>
                <w:iCs/>
              </w:rPr>
              <w:t>Liczba zarejestrowanych działalności gospodarczych</w:t>
            </w:r>
          </w:p>
        </w:tc>
        <w:tc>
          <w:tcPr>
            <w:tcW w:w="31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jc w:val="center"/>
              <w:rPr>
                <w:rFonts w:cs="Calibri"/>
                <w:iCs/>
              </w:rPr>
            </w:pPr>
            <w:r>
              <w:rPr>
                <w:rFonts w:cs="Calibri"/>
                <w:iCs/>
              </w:rPr>
              <w:t>Liczba wyrejestrowanych działalności gospodarczych</w:t>
            </w:r>
          </w:p>
        </w:tc>
        <w:tc>
          <w:tcPr>
            <w:tcW w:w="1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jc w:val="center"/>
              <w:rPr>
                <w:rFonts w:cs="Calibri"/>
                <w:iCs/>
              </w:rPr>
            </w:pPr>
            <w:r>
              <w:rPr>
                <w:rFonts w:cs="Calibri"/>
                <w:iCs/>
              </w:rPr>
              <w:t>Bilans</w:t>
            </w:r>
          </w:p>
        </w:tc>
      </w:tr>
      <w:tr>
        <w:trPr/>
        <w:tc>
          <w:tcPr>
            <w:tcW w:w="14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jc w:val="center"/>
              <w:rPr>
                <w:rFonts w:cs="Calibri"/>
                <w:iCs/>
              </w:rPr>
            </w:pPr>
            <w:r>
              <w:rPr>
                <w:rFonts w:cs="Calibri"/>
                <w:iCs/>
              </w:rPr>
              <w:t>2018</w:t>
            </w:r>
          </w:p>
        </w:tc>
        <w:tc>
          <w:tcPr>
            <w:tcW w:w="31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jc w:val="center"/>
              <w:rPr>
                <w:rFonts w:cs="Calibri"/>
                <w:iCs/>
              </w:rPr>
            </w:pPr>
            <w:r>
              <w:rPr>
                <w:rFonts w:cs="Calibri"/>
                <w:iCs/>
              </w:rPr>
              <w:t>1195</w:t>
            </w:r>
          </w:p>
        </w:tc>
        <w:tc>
          <w:tcPr>
            <w:tcW w:w="31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jc w:val="center"/>
              <w:rPr>
                <w:rFonts w:cs="Calibri"/>
                <w:iCs/>
              </w:rPr>
            </w:pPr>
            <w:r>
              <w:rPr>
                <w:rFonts w:cs="Calibri"/>
                <w:iCs/>
              </w:rPr>
              <w:t>849</w:t>
            </w:r>
          </w:p>
        </w:tc>
        <w:tc>
          <w:tcPr>
            <w:tcW w:w="1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jc w:val="center"/>
              <w:rPr>
                <w:rFonts w:cs="Calibri"/>
                <w:iCs/>
              </w:rPr>
            </w:pPr>
            <w:r>
              <w:rPr>
                <w:rFonts w:cs="Calibri"/>
                <w:iCs/>
              </w:rPr>
              <w:t>+ 346</w:t>
            </w:r>
          </w:p>
        </w:tc>
      </w:tr>
      <w:tr>
        <w:trPr/>
        <w:tc>
          <w:tcPr>
            <w:tcW w:w="14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jc w:val="center"/>
              <w:rPr>
                <w:rFonts w:cs="Calibri"/>
                <w:iCs/>
              </w:rPr>
            </w:pPr>
            <w:r>
              <w:rPr>
                <w:rFonts w:cs="Calibri"/>
                <w:iCs/>
              </w:rPr>
              <w:t>2019</w:t>
            </w:r>
          </w:p>
        </w:tc>
        <w:tc>
          <w:tcPr>
            <w:tcW w:w="31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jc w:val="center"/>
              <w:rPr>
                <w:rFonts w:cs="Calibri"/>
                <w:iCs/>
              </w:rPr>
            </w:pPr>
            <w:r>
              <w:rPr>
                <w:rFonts w:cs="Calibri"/>
                <w:iCs/>
              </w:rPr>
              <w:t>1002</w:t>
            </w:r>
          </w:p>
        </w:tc>
        <w:tc>
          <w:tcPr>
            <w:tcW w:w="31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jc w:val="center"/>
              <w:rPr>
                <w:rFonts w:cs="Calibri"/>
                <w:iCs/>
              </w:rPr>
            </w:pPr>
            <w:r>
              <w:rPr>
                <w:rFonts w:cs="Calibri"/>
                <w:iCs/>
              </w:rPr>
              <w:t>768</w:t>
            </w:r>
          </w:p>
        </w:tc>
        <w:tc>
          <w:tcPr>
            <w:tcW w:w="1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jc w:val="center"/>
              <w:rPr>
                <w:rFonts w:cs="Calibri"/>
                <w:iCs/>
              </w:rPr>
            </w:pPr>
            <w:r>
              <w:rPr>
                <w:rFonts w:cs="Calibri"/>
                <w:iCs/>
              </w:rPr>
              <w:t>+ 234</w:t>
            </w:r>
          </w:p>
        </w:tc>
      </w:tr>
      <w:tr>
        <w:trPr/>
        <w:tc>
          <w:tcPr>
            <w:tcW w:w="14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jc w:val="center"/>
              <w:rPr>
                <w:rFonts w:cs="Calibri"/>
                <w:iCs/>
              </w:rPr>
            </w:pPr>
            <w:r>
              <w:rPr>
                <w:rFonts w:cs="Calibri"/>
                <w:iCs/>
              </w:rPr>
              <w:t>2020</w:t>
            </w:r>
          </w:p>
        </w:tc>
        <w:tc>
          <w:tcPr>
            <w:tcW w:w="31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jc w:val="center"/>
              <w:rPr>
                <w:rFonts w:cs="Calibri"/>
                <w:iCs/>
              </w:rPr>
            </w:pPr>
            <w:r>
              <w:rPr>
                <w:rFonts w:cs="Calibri"/>
                <w:iCs/>
              </w:rPr>
              <w:t>517</w:t>
            </w:r>
          </w:p>
        </w:tc>
        <w:tc>
          <w:tcPr>
            <w:tcW w:w="31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jc w:val="center"/>
              <w:rPr>
                <w:rFonts w:cs="Calibri"/>
                <w:iCs/>
              </w:rPr>
            </w:pPr>
            <w:r>
              <w:rPr>
                <w:rFonts w:cs="Calibri"/>
                <w:iCs/>
              </w:rPr>
              <w:t>471</w:t>
            </w:r>
          </w:p>
        </w:tc>
        <w:tc>
          <w:tcPr>
            <w:tcW w:w="1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jc w:val="center"/>
              <w:rPr>
                <w:rFonts w:cs="Calibri"/>
                <w:iCs/>
              </w:rPr>
            </w:pPr>
            <w:r>
              <w:rPr>
                <w:rFonts w:cs="Calibri"/>
                <w:iCs/>
              </w:rPr>
              <w:t>+ 46</w:t>
            </w:r>
          </w:p>
        </w:tc>
      </w:tr>
      <w:tr>
        <w:trPr/>
        <w:tc>
          <w:tcPr>
            <w:tcW w:w="14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jc w:val="center"/>
              <w:rPr>
                <w:rFonts w:cs="Calibri"/>
                <w:iCs/>
              </w:rPr>
            </w:pPr>
            <w:r>
              <w:rPr>
                <w:rFonts w:cs="Calibri"/>
                <w:iCs/>
              </w:rPr>
              <w:t>2021</w:t>
            </w:r>
          </w:p>
        </w:tc>
        <w:tc>
          <w:tcPr>
            <w:tcW w:w="31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jc w:val="center"/>
              <w:rPr>
                <w:rFonts w:cs="Calibri"/>
                <w:iCs/>
              </w:rPr>
            </w:pPr>
            <w:r>
              <w:rPr>
                <w:rFonts w:cs="Calibri"/>
                <w:iCs/>
              </w:rPr>
              <w:t>476</w:t>
            </w:r>
          </w:p>
        </w:tc>
        <w:tc>
          <w:tcPr>
            <w:tcW w:w="31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jc w:val="center"/>
              <w:rPr>
                <w:rFonts w:cs="Calibri"/>
                <w:iCs/>
              </w:rPr>
            </w:pPr>
            <w:r>
              <w:rPr>
                <w:rFonts w:cs="Calibri"/>
                <w:iCs/>
              </w:rPr>
              <w:t>510</w:t>
            </w:r>
          </w:p>
        </w:tc>
        <w:tc>
          <w:tcPr>
            <w:tcW w:w="1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jc w:val="center"/>
              <w:rPr>
                <w:rFonts w:cs="Calibri"/>
                <w:iCs/>
              </w:rPr>
            </w:pPr>
            <w:r>
              <w:rPr>
                <w:rFonts w:cs="Calibri"/>
                <w:iCs/>
              </w:rPr>
              <w:t>-34</w:t>
            </w:r>
          </w:p>
        </w:tc>
      </w:tr>
    </w:tbl>
    <w:p>
      <w:pPr>
        <w:pStyle w:val="Normal"/>
        <w:spacing w:before="0" w:after="120"/>
        <w:jc w:val="both"/>
        <w:rPr>
          <w:rFonts w:cs="Calibri"/>
          <w:iCs/>
        </w:rPr>
      </w:pPr>
      <w:r>
        <w:rPr>
          <w:rFonts w:cs="Calibri"/>
          <w:iCs/>
        </w:rPr>
      </w:r>
    </w:p>
    <w:p>
      <w:pPr>
        <w:pStyle w:val="Normal"/>
        <w:spacing w:before="0" w:after="120"/>
        <w:jc w:val="both"/>
        <w:rPr>
          <w:rFonts w:cs="Calibri"/>
          <w:iCs/>
        </w:rPr>
      </w:pPr>
      <w:r>
        <w:rPr>
          <w:rFonts w:cs="Calibri"/>
          <w:iCs/>
        </w:rPr>
        <w:t>Warto również wspomnieć, że przedstawiciele Wydziału ściśle współpracują z Powiatowym Urzędem Pracy w Sosnowcu w zakresie przygotowywania zestawień, analiz oraz spotkań w ramach:</w:t>
      </w:r>
    </w:p>
    <w:p>
      <w:pPr>
        <w:pStyle w:val="Normal"/>
        <w:spacing w:before="0" w:after="120"/>
        <w:jc w:val="both"/>
        <w:rPr>
          <w:rFonts w:cs="Calibri"/>
          <w:iCs/>
        </w:rPr>
      </w:pPr>
      <w:r>
        <w:rPr>
          <w:rFonts w:cs="Calibri"/>
          <w:iCs/>
        </w:rPr>
        <w:t>-  Obrad Powiatowej Rady Rynku Pracy - organu opiniodawczo – doradczego prezydenta w sprawach polityki rynku pracy. Do jej najważniejszych zadań należy przede wszystkim:</w:t>
      </w:r>
    </w:p>
    <w:p>
      <w:pPr>
        <w:pStyle w:val="Normal"/>
        <w:spacing w:before="0" w:after="120"/>
        <w:ind w:left="708" w:hanging="0"/>
        <w:jc w:val="both"/>
        <w:rPr>
          <w:rFonts w:cs="Calibri"/>
          <w:iCs/>
        </w:rPr>
      </w:pPr>
      <w:r>
        <w:rPr>
          <w:rFonts w:cs="Calibri"/>
          <w:iCs/>
        </w:rPr>
        <w:t>- inspirowanie przedsięwzięć zmierzających do pełnego i produktywnego zatrudnienia</w:t>
        <w:br/>
        <w:t>i rozwoju zasobów ludzkich;</w:t>
      </w:r>
    </w:p>
    <w:p>
      <w:pPr>
        <w:pStyle w:val="Normal"/>
        <w:spacing w:before="0" w:after="120"/>
        <w:ind w:left="708" w:hanging="0"/>
        <w:jc w:val="both"/>
        <w:rPr>
          <w:rFonts w:cs="Calibri"/>
          <w:iCs/>
        </w:rPr>
      </w:pPr>
      <w:r>
        <w:rPr>
          <w:rFonts w:cs="Calibri"/>
          <w:iCs/>
        </w:rPr>
        <w:t>-  wydawanie opinii w sprawach dotyczących kierunków kształcenia, szkolenia zawodowego oraz zatrudnienia w powiecie.</w:t>
      </w:r>
    </w:p>
    <w:p>
      <w:pPr>
        <w:pStyle w:val="Normal"/>
        <w:spacing w:before="0" w:after="120"/>
        <w:jc w:val="both"/>
        <w:rPr>
          <w:rFonts w:cs="Calibri"/>
          <w:iCs/>
        </w:rPr>
      </w:pPr>
      <w:r>
        <w:rPr>
          <w:rFonts w:cs="Calibri"/>
          <w:iCs/>
        </w:rPr>
        <w:t>-  badań do corocznego Barometru Zawodów czyli prognozy zapotrzebowania na pracowników</w:t>
        <w:br/>
        <w:t>w oparciu o listę zawodów deficytowych, nadwyżkowych oraz pozostających w równowadze.</w:t>
      </w:r>
    </w:p>
    <w:p>
      <w:pPr>
        <w:pStyle w:val="Normal"/>
        <w:spacing w:before="0" w:after="120"/>
        <w:jc w:val="both"/>
        <w:rPr>
          <w:rFonts w:cs="Calibri"/>
          <w:iCs/>
        </w:rPr>
      </w:pPr>
      <w:r>
        <w:rPr>
          <w:rFonts w:cs="Calibri"/>
          <w:iCs/>
        </w:rPr>
        <w:t>Do pozostałych elementów wspierających rozwój lokalnego rynku pracy należą takie inicjatywy jak:</w:t>
      </w:r>
    </w:p>
    <w:p>
      <w:pPr>
        <w:pStyle w:val="Normal"/>
        <w:spacing w:before="0" w:after="120"/>
        <w:jc w:val="both"/>
        <w:rPr>
          <w:rFonts w:cs="Calibri"/>
          <w:iCs/>
        </w:rPr>
      </w:pPr>
      <w:r>
        <w:rPr>
          <w:rFonts w:cs="Calibri"/>
          <w:iCs/>
        </w:rPr>
        <w:t>- organizacja i przeprowadzenie miejskiej loterii PIT, w której mieszkańcy miasta mogą wygrać atrakcyjne nagrody. Loteria jest formą promocji, która ma zachęcać mieszkańców Sosnowca do płacenia podatków w mieście, ale również ma być zachętą do zamieszkania w naszym mieście.</w:t>
      </w:r>
    </w:p>
    <w:p>
      <w:pPr>
        <w:pStyle w:val="Normal"/>
        <w:spacing w:before="0" w:after="120"/>
        <w:jc w:val="both"/>
        <w:rPr>
          <w:rFonts w:cs="Calibri"/>
          <w:iCs/>
        </w:rPr>
      </w:pPr>
      <w:r>
        <w:rPr>
          <w:rFonts w:cs="Calibri"/>
          <w:iCs/>
        </w:rPr>
        <w:t>- przygotowywanie programu Sosnowieckiej Karty Miejskiej ( obecnie - w trakcie przetargu), który</w:t>
        <w:br/>
        <w:t xml:space="preserve">z jednej strony poprawi i uatrakcyjni ofertę kulturalno-rozrywkową miasta, ale  w dłuższej perspektywie czasu pozwoli lokalnym przedsiębiorcom przedstawić specjalną ofertę dla mieszkańców. </w:t>
      </w:r>
    </w:p>
    <w:p>
      <w:pPr>
        <w:pStyle w:val="Nagwek1"/>
        <w:rPr/>
      </w:pPr>
      <w:r>
        <w:rPr/>
        <w:t>Inne Działania</w:t>
      </w:r>
    </w:p>
    <w:p>
      <w:pPr>
        <w:pStyle w:val="Normal"/>
        <w:jc w:val="both"/>
        <w:rPr/>
      </w:pPr>
      <w:r>
        <w:rPr/>
        <w:t>W ramach wieloletniej prognozy dla Sosnowca na lata 2021-2040 możemy znaleźć wiele działań ukierunkowanych na wsparcie lokalnego rynku pracy. Do najbardziej aktualnych należą następujące projekty realizowane w ostatnich latach przez:</w:t>
      </w:r>
    </w:p>
    <w:p>
      <w:pPr>
        <w:pStyle w:val="Normal"/>
        <w:jc w:val="both"/>
        <w:rPr>
          <w:b/>
          <w:b/>
          <w:bCs/>
        </w:rPr>
      </w:pPr>
      <w:r>
        <w:rPr>
          <w:b/>
          <w:bCs/>
        </w:rPr>
        <w:t>Wydział Edukacji:</w:t>
      </w:r>
    </w:p>
    <w:p>
      <w:pPr>
        <w:pStyle w:val="Normal"/>
        <w:jc w:val="both"/>
        <w:rPr>
          <w:u w:val="single"/>
        </w:rPr>
      </w:pPr>
      <w:r>
        <w:rPr/>
        <w:t xml:space="preserve">- </w:t>
      </w:r>
      <w:r>
        <w:rPr>
          <w:u w:val="single"/>
        </w:rPr>
        <w:t>„Kompetencje zawodowe kluczem do sukcesu”</w:t>
      </w:r>
    </w:p>
    <w:p>
      <w:pPr>
        <w:pStyle w:val="Normal"/>
        <w:jc w:val="both"/>
        <w:rPr/>
      </w:pPr>
      <w:r>
        <w:rPr/>
        <w:t>Cel: Poprawa jakości kształcenia oraz ulepszenie oferty kształcenia zawodowego, podniesienie umiejętności i kwalifikacji zawodowych uczniów oraz wzmocnienie ich zdolności do zatrudnienia poprzez organizację kursów i szkoleń dostosowanych do aktualnych potrzeb rynku pracy, podniesienie oferty placówki poprzez dostosowanie sal i doposażenie pracowni zawodowych</w:t>
        <w:br/>
        <w:t>w sprzęt i materiały dydaktyczne (CKZiU nr 1)</w:t>
      </w:r>
    </w:p>
    <w:p>
      <w:pPr>
        <w:pStyle w:val="Normal"/>
        <w:jc w:val="both"/>
        <w:rPr/>
      </w:pPr>
      <w:r>
        <w:rPr/>
        <w:t xml:space="preserve">- </w:t>
      </w:r>
      <w:r>
        <w:rPr>
          <w:u w:val="single"/>
        </w:rPr>
        <w:t xml:space="preserve">"Edukacja krokiem do sukcesu zawodowego II etap " </w:t>
      </w:r>
      <w:r>
        <w:rPr/>
        <w:t>w ramach RPO W ŚL 2014-2020, Priorytet XI, Działanie 11.2, Poddziałanie 11.2.1. Wsparcie szkolnictwa zawodowego - ZIT</w:t>
      </w:r>
    </w:p>
    <w:p>
      <w:pPr>
        <w:pStyle w:val="Normal"/>
        <w:jc w:val="both"/>
        <w:rPr/>
      </w:pPr>
      <w:r>
        <w:rPr/>
        <w:t>Cel: Wzmocnienie zdolności do zatrudnienia absolwentów placówek kształcenia zawodowego poprzez poprawę jakości procesu kształcenia i dostosowanie oferty edukacyjnej CKZIU w Sosnowcu ul. Grota Roweckiego 64 do potrzeb rynku pracy.</w:t>
      </w:r>
    </w:p>
    <w:p>
      <w:pPr>
        <w:pStyle w:val="Normal"/>
        <w:jc w:val="both"/>
        <w:rPr>
          <w:u w:val="single"/>
        </w:rPr>
      </w:pPr>
      <w:r>
        <w:rPr>
          <w:u w:val="single"/>
        </w:rPr>
        <w:t>- „Staże zagraniczne w Austrii - czas na dobry start”</w:t>
      </w:r>
    </w:p>
    <w:p>
      <w:pPr>
        <w:pStyle w:val="Normal"/>
        <w:jc w:val="both"/>
        <w:rPr/>
      </w:pPr>
      <w:r>
        <w:rPr/>
        <w:t>Cel: Podniesienie kompetencji zawodowych uczniów, poznanie zagranicznego rynku pracy, zwiększenie konkurencyjności na rynku polskim i europejskim</w:t>
      </w:r>
    </w:p>
    <w:p>
      <w:pPr>
        <w:pStyle w:val="Normal"/>
        <w:jc w:val="both"/>
        <w:rPr>
          <w:b/>
          <w:b/>
          <w:bCs/>
        </w:rPr>
      </w:pPr>
      <w:r>
        <w:rPr>
          <w:b/>
          <w:bCs/>
        </w:rPr>
        <w:t>Wydział Polityki Społecznej w ramach środków z EFS:</w:t>
      </w:r>
    </w:p>
    <w:p>
      <w:pPr>
        <w:pStyle w:val="Normal"/>
        <w:jc w:val="both"/>
        <w:rPr>
          <w:u w:val="single"/>
        </w:rPr>
      </w:pPr>
      <w:r>
        <w:rPr>
          <w:u w:val="single"/>
        </w:rPr>
        <w:t xml:space="preserve">Tytuł projektu: Aktywne Centrum – Szansa dla Nas! - II edycja. </w:t>
      </w:r>
    </w:p>
    <w:p>
      <w:pPr>
        <w:pStyle w:val="Normal"/>
        <w:jc w:val="both"/>
        <w:rPr/>
      </w:pPr>
      <w:r>
        <w:rPr/>
        <w:t xml:space="preserve">Planowana ilość osób objętych wsparciem w ramach projektu (osoby zagrożone wykluczeniem społecznym, w tym bezrobotni): 93. </w:t>
      </w:r>
    </w:p>
    <w:p>
      <w:pPr>
        <w:pStyle w:val="Normal"/>
        <w:jc w:val="both"/>
        <w:rPr/>
      </w:pPr>
      <w:r>
        <w:rPr/>
        <w:t xml:space="preserve">Okres realizacji projektu: 2020-07-30 - 2022-12-31. </w:t>
      </w:r>
    </w:p>
    <w:p>
      <w:pPr>
        <w:pStyle w:val="Normal"/>
        <w:jc w:val="both"/>
        <w:rPr/>
      </w:pPr>
      <w:r>
        <w:rPr/>
        <w:t xml:space="preserve">Dofinansowanie EFS: 1 381 671,51 zł. </w:t>
      </w:r>
    </w:p>
    <w:p>
      <w:pPr>
        <w:pStyle w:val="Normal"/>
        <w:jc w:val="both"/>
        <w:rPr/>
      </w:pPr>
      <w:r>
        <w:rPr/>
        <w:t xml:space="preserve">Ogółem planowane jest, że w szkoleniach zawodowych weźmie udział 30 osób. </w:t>
      </w:r>
    </w:p>
    <w:p>
      <w:pPr>
        <w:pStyle w:val="Normal"/>
        <w:jc w:val="both"/>
        <w:rPr/>
      </w:pPr>
      <w:r>
        <w:rPr/>
        <w:t>Aktualnie kwalifikacyjne kursy zawodowe zakończyło 15 osób. Jednocześnie podpisano umowy stażowe dla 12 osób (7 w trakcie, 5 zakończonych). Wszystkie działania dla osób bezrobotnych prowadzone są pod nadzorem merytorycznym doradcy zawodowego oraz pośrednika pracy, którzy tworzą wraz z uczestnikami ścieżki zawodowe mające na celu dobranie najkorzystniejszych form wsparcia osób bezrobotnych. Ponadto wszyscy uczestnicy projektu mogą korzystać ze wsparcia psychologicznego oraz coachingu, co ma wpływ na wzrost wydajności zawodowej uczestników, zwiększenie motywacji do pracy oraz skrócenie procesu podejmowania decyzji o podjęciu zatrudnienia.</w:t>
      </w:r>
    </w:p>
    <w:p>
      <w:pPr>
        <w:pStyle w:val="Normal"/>
        <w:jc w:val="both"/>
        <w:rPr>
          <w:u w:val="single"/>
        </w:rPr>
      </w:pPr>
      <w:r>
        <w:rPr>
          <w:u w:val="single"/>
        </w:rPr>
        <w:t xml:space="preserve">Tytuł projektu: Wejdź do gry, bądź aktywny zawodowo. </w:t>
      </w:r>
    </w:p>
    <w:p>
      <w:pPr>
        <w:pStyle w:val="Normal"/>
        <w:jc w:val="both"/>
        <w:rPr/>
      </w:pPr>
      <w:r>
        <w:rPr/>
        <w:t xml:space="preserve">Planowana ilość osób objętych wsparciem w ramach projektu (osoby bezrobotne po 30. roku życia zarejestrowane w PUP): 81. </w:t>
      </w:r>
    </w:p>
    <w:p>
      <w:pPr>
        <w:pStyle w:val="Normal"/>
        <w:jc w:val="both"/>
        <w:rPr/>
      </w:pPr>
      <w:r>
        <w:rPr/>
        <w:t xml:space="preserve">Okres realizacji projektu: 2020-09-01 - 2022-08-31. </w:t>
      </w:r>
    </w:p>
    <w:p>
      <w:pPr>
        <w:pStyle w:val="Normal"/>
        <w:jc w:val="both"/>
        <w:rPr/>
      </w:pPr>
      <w:r>
        <w:rPr/>
        <w:t>Dofinansowanie EFS: 1 096 367,40 zł.</w:t>
      </w:r>
    </w:p>
    <w:p>
      <w:pPr>
        <w:pStyle w:val="Normal"/>
        <w:jc w:val="both"/>
        <w:rPr/>
      </w:pPr>
      <w:r>
        <w:rPr/>
        <w:t>W ramach projektu realizowane są następujące działania:</w:t>
      </w:r>
    </w:p>
    <w:p>
      <w:pPr>
        <w:pStyle w:val="Normal"/>
        <w:jc w:val="both"/>
        <w:rPr/>
      </w:pPr>
      <w:r>
        <w:rPr/>
        <w:t>1) indywidualizacja wsparcia oraz dobór jego najkorzystniejszych form w oparciu o analizę umiejętności, predyspozycji i potrzeb rozwoju zawodowego uczestników projektu, jak również zapotrzebowania lokalnego rynku pracy;</w:t>
      </w:r>
    </w:p>
    <w:p>
      <w:pPr>
        <w:pStyle w:val="Normal"/>
        <w:jc w:val="both"/>
        <w:rPr/>
      </w:pPr>
      <w:r>
        <w:rPr/>
        <w:t>2) staże zawodowe dla uczestników wymagających nabycia doświadczenia zawodowego oraz pomocy w wejściu na rynek pracy;</w:t>
      </w:r>
    </w:p>
    <w:p>
      <w:pPr>
        <w:pStyle w:val="Normal"/>
        <w:jc w:val="both"/>
        <w:rPr/>
      </w:pPr>
      <w:r>
        <w:rPr/>
        <w:t>3) szkolenia zawodowe dla uczestników bez kwalifikacji zawodowych;</w:t>
      </w:r>
    </w:p>
    <w:p>
      <w:pPr>
        <w:pStyle w:val="Normal"/>
        <w:jc w:val="both"/>
        <w:rPr/>
      </w:pPr>
      <w:r>
        <w:rPr/>
        <w:t>4) poradnictwo zawodowe i pośrednictwo pracy dla wszystkich uczestników,</w:t>
      </w:r>
    </w:p>
    <w:p>
      <w:pPr>
        <w:pStyle w:val="Normal"/>
        <w:jc w:val="both"/>
        <w:rPr/>
      </w:pPr>
      <w:r>
        <w:rPr/>
      </w:r>
    </w:p>
    <w:p>
      <w:pPr>
        <w:pStyle w:val="Normal"/>
        <w:spacing w:before="0" w:after="160"/>
        <w:jc w:val="both"/>
        <w:rPr/>
      </w:pPr>
      <w:r>
        <w:rPr/>
      </w:r>
    </w:p>
    <w:sectPr>
      <w:footerReference w:type="default" r:id="rId15"/>
      <w:type w:val="nextPage"/>
      <w:pgSz w:w="11906" w:h="16838"/>
      <w:pgMar w:left="1417" w:right="1417" w:header="0" w:top="1417" w:footer="708" w:bottom="1417"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Calibri">
    <w:charset w:val="ee"/>
    <w:family w:val="roman"/>
    <w:pitch w:val="variable"/>
  </w:font>
  <w:font w:name="Calibri Light">
    <w:charset w:val="ee"/>
    <w:family w:val="roman"/>
    <w:pitch w:val="variable"/>
  </w:font>
  <w:font w:name="Arial">
    <w:charset w:val="ee"/>
    <w:family w:val="roman"/>
    <w:pitch w:val="variable"/>
  </w:font>
  <w:font w:name="Symbol">
    <w:charset w:val="ee"/>
    <w:family w:val="roman"/>
    <w:pitch w:val="variable"/>
  </w:font>
  <w:font w:name="Tahoma">
    <w:charset w:val="ee"/>
    <w:family w:val="roman"/>
    <w:pitch w:val="variable"/>
  </w:font>
  <w:font w:name="Liberation Sans">
    <w:altName w:val="Arial"/>
    <w:charset w:val="ee"/>
    <w:family w:val="swiss"/>
    <w:pitch w:val="variable"/>
  </w:font>
  <w:font w:name="Times New Roman">
    <w:charset w:val="ee"/>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opka"/>
      <w:jc w:val="center"/>
      <w:rPr/>
    </w:pPr>
    <w:r>
      <w:rPr/>
      <w:drawing>
        <wp:inline distT="0" distB="0" distL="0" distR="0">
          <wp:extent cx="5661025" cy="556895"/>
          <wp:effectExtent l="0" t="0" r="0" b="0"/>
          <wp:docPr id="5" name="Obraz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13" descr=""/>
                  <pic:cNvPicPr>
                    <a:picLocks noChangeAspect="1" noChangeArrowheads="1"/>
                  </pic:cNvPicPr>
                </pic:nvPicPr>
                <pic:blipFill>
                  <a:blip r:embed="rId1"/>
                  <a:stretch>
                    <a:fillRect/>
                  </a:stretch>
                </pic:blipFill>
                <pic:spPr bwMode="auto">
                  <a:xfrm>
                    <a:off x="0" y="0"/>
                    <a:ext cx="5661025" cy="556895"/>
                  </a:xfrm>
                  <a:prstGeom prst="rect">
                    <a:avLst/>
                  </a:prstGeom>
                </pic:spPr>
              </pic:pic>
            </a:graphicData>
          </a:graphic>
        </wp:inline>
      </w:drawing>
    </w:r>
  </w:p>
  <w:p>
    <w:pPr>
      <w:pStyle w:val="Stopka"/>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opka"/>
      <w:jc w:val="center"/>
      <w:rPr/>
    </w:pPr>
    <w:r>
      <w:rPr/>
      <w:drawing>
        <wp:inline distT="0" distB="0" distL="0" distR="0">
          <wp:extent cx="5661025" cy="556895"/>
          <wp:effectExtent l="0" t="0" r="0" b="0"/>
          <wp:docPr id="7"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descr=""/>
                  <pic:cNvPicPr>
                    <a:picLocks noChangeAspect="1" noChangeArrowheads="1"/>
                  </pic:cNvPicPr>
                </pic:nvPicPr>
                <pic:blipFill>
                  <a:blip r:embed="rId1"/>
                  <a:stretch>
                    <a:fillRect/>
                  </a:stretch>
                </pic:blipFill>
                <pic:spPr bwMode="auto">
                  <a:xfrm>
                    <a:off x="0" y="0"/>
                    <a:ext cx="5661025" cy="556895"/>
                  </a:xfrm>
                  <a:prstGeom prst="rect">
                    <a:avLst/>
                  </a:prstGeom>
                </pic:spPr>
              </pic:pic>
            </a:graphicData>
          </a:graphic>
        </wp:inline>
      </w:drawing>
    </w:r>
  </w:p>
  <w:p>
    <w:pPr>
      <w:pStyle w:val="Stopka"/>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opka"/>
      <w:jc w:val="center"/>
      <w:rPr/>
    </w:pPr>
    <w:r>
      <w:rPr/>
      <w:drawing>
        <wp:inline distT="0" distB="0" distL="0" distR="0">
          <wp:extent cx="5661025" cy="556895"/>
          <wp:effectExtent l="0" t="0" r="0" b="0"/>
          <wp:docPr id="9"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descr=""/>
                  <pic:cNvPicPr>
                    <a:picLocks noChangeAspect="1" noChangeArrowheads="1"/>
                  </pic:cNvPicPr>
                </pic:nvPicPr>
                <pic:blipFill>
                  <a:blip r:embed="rId1"/>
                  <a:stretch>
                    <a:fillRect/>
                  </a:stretch>
                </pic:blipFill>
                <pic:spPr bwMode="auto">
                  <a:xfrm>
                    <a:off x="0" y="0"/>
                    <a:ext cx="5661025" cy="556895"/>
                  </a:xfrm>
                  <a:prstGeom prst="rect">
                    <a:avLst/>
                  </a:prstGeom>
                </pic:spPr>
              </pic:pic>
            </a:graphicData>
          </a:graphic>
        </wp:inline>
      </w:drawing>
    </w:r>
  </w:p>
  <w:p>
    <w:pPr>
      <w:pStyle w:val="Stopka"/>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opka"/>
      <w:jc w:val="center"/>
      <w:rPr/>
    </w:pPr>
    <w:r>
      <w:rPr/>
      <w:drawing>
        <wp:inline distT="0" distB="0" distL="0" distR="0">
          <wp:extent cx="5661025" cy="556895"/>
          <wp:effectExtent l="0" t="0" r="0" b="0"/>
          <wp:docPr id="12"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descr=""/>
                  <pic:cNvPicPr>
                    <a:picLocks noChangeAspect="1" noChangeArrowheads="1"/>
                  </pic:cNvPicPr>
                </pic:nvPicPr>
                <pic:blipFill>
                  <a:blip r:embed="rId1"/>
                  <a:stretch>
                    <a:fillRect/>
                  </a:stretch>
                </pic:blipFill>
                <pic:spPr bwMode="auto">
                  <a:xfrm>
                    <a:off x="0" y="0"/>
                    <a:ext cx="5661025" cy="556895"/>
                  </a:xfrm>
                  <a:prstGeom prst="rect">
                    <a:avLst/>
                  </a:prstGeom>
                </pic:spPr>
              </pic:pic>
            </a:graphicData>
          </a:graphic>
        </wp:inline>
      </w:drawing>
    </w:r>
  </w:p>
  <w:p>
    <w:pPr>
      <w:pStyle w:val="Stopka"/>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opka"/>
      <w:jc w:val="center"/>
      <w:rPr/>
    </w:pPr>
    <w:r>
      <w:rPr/>
      <w:drawing>
        <wp:inline distT="0" distB="0" distL="0" distR="0">
          <wp:extent cx="5661025" cy="556895"/>
          <wp:effectExtent l="0" t="0" r="0" b="0"/>
          <wp:docPr id="13"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descr=""/>
                  <pic:cNvPicPr>
                    <a:picLocks noChangeAspect="1" noChangeArrowheads="1"/>
                  </pic:cNvPicPr>
                </pic:nvPicPr>
                <pic:blipFill>
                  <a:blip r:embed="rId1"/>
                  <a:stretch>
                    <a:fillRect/>
                  </a:stretch>
                </pic:blipFill>
                <pic:spPr bwMode="auto">
                  <a:xfrm>
                    <a:off x="0" y="0"/>
                    <a:ext cx="5661025" cy="556895"/>
                  </a:xfrm>
                  <a:prstGeom prst="rect">
                    <a:avLst/>
                  </a:prstGeom>
                </pic:spPr>
              </pic:pic>
            </a:graphicData>
          </a:graphic>
        </wp:inline>
      </w:drawing>
    </w:r>
  </w:p>
  <w:p>
    <w:pPr>
      <w:pStyle w:val="Stopka"/>
      <w:rPr/>
    </w:pPr>
    <w:r>
      <w:rPr/>
    </w:r>
  </w:p>
</w:ftr>
</file>

<file path=word/settings.xml><?xml version="1.0" encoding="utf-8"?>
<w:settings xmlns:w="http://schemas.openxmlformats.org/wordprocessingml/2006/main">
  <w:zoom w:percent="120"/>
  <w:defaultTabStop w:val="708"/>
  <w:compat/>
  <w:themeFontLang w:val="pl-P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imes New Roman"/>
        <w:sz w:val="22"/>
        <w:szCs w:val="22"/>
        <w:lang w:val="pl-PL" w:eastAsia="pl-PL" w:bidi="ar-SA"/>
      </w:rPr>
    </w:rPrDefault>
    <w:pPrDefault>
      <w:pPr/>
    </w:pPrDefault>
  </w:docDefaults>
  <w:latentStyles w:defLockedState="0" w:defUIPriority="99" w:defSemiHidden="1" w:defUnhideWhenUsed="1" w:defQFormat="0" w:count="267">
    <w:lsdException w:name="Normal" w:locked="1" w:uiPriority="0" w:semiHidden="0" w:unhideWhenUsed="0" w:qFormat="1"/>
    <w:lsdException w:name="heading 1" w:locked="1" w:uiPriority="0" w:semiHidden="0" w:unhideWhenUsed="0" w:qFormat="1"/>
    <w:lsdException w:name="heading 2" w:locked="1" w:uiPriority="0" w:semiHidden="0" w:unhideWhenUsed="0" w:qFormat="1"/>
    <w:lsdException w:name="heading 3" w:locked="1" w:uiPriority="0"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uiPriority="0" w:semiHidden="0" w:unhideWhenUsed="0"/>
    <w:lsdException w:name="toc 2" w:locked="1" w:uiPriority="0" w:semiHidden="0" w:unhideWhenUsed="0"/>
    <w:lsdException w:name="toc 3" w:locked="1" w:uiPriority="0" w:semiHidden="0" w:unhideWhenUsed="0"/>
    <w:lsdException w:name="toc 4" w:locked="1" w:uiPriority="0" w:semiHidden="0" w:unhideWhenUsed="0"/>
    <w:lsdException w:name="toc 5" w:locked="1" w:uiPriority="0" w:semiHidden="0" w:unhideWhenUsed="0"/>
    <w:lsdException w:name="toc 6" w:locked="1" w:uiPriority="0" w:semiHidden="0" w:unhideWhenUsed="0"/>
    <w:lsdException w:name="toc 7" w:locked="1" w:uiPriority="0" w:semiHidden="0" w:unhideWhenUsed="0"/>
    <w:lsdException w:name="toc 8" w:locked="1" w:uiPriority="0" w:semiHidden="0" w:unhideWhenUsed="0"/>
    <w:lsdException w:name="toc 9" w:locked="1" w:uiPriority="0" w:semiHidden="0" w:unhideWhenUsed="0"/>
    <w:lsdException w:name="caption" w:locked="1" w:uiPriority="0" w:qFormat="1"/>
    <w:lsdException w:name="Title" w:locked="1" w:uiPriority="0" w:semiHidden="0" w:unhideWhenUsed="0" w:qFormat="1"/>
    <w:lsdException w:name="Default Paragraph Font" w:locked="1" w:uiPriority="0" w:semiHidden="0" w:unhideWhenUsed="0"/>
    <w:lsdException w:name="Subtitle" w:locked="1" w:uiPriority="0" w:semiHidden="0" w:unhideWhenUsed="0" w:qFormat="1"/>
    <w:lsdException w:name="Strong" w:locked="1" w:uiPriority="0" w:semiHidden="0" w:unhideWhenUsed="0" w:qFormat="1"/>
    <w:lsdException w:name="Emphasis" w:locked="1" w:uiPriority="0" w:semiHidden="0" w:unhideWhenUsed="0" w:qFormat="1"/>
    <w:lsdException w:name="Table Grid" w:locked="1" w:uiPriority="0"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60305e"/>
    <w:pPr>
      <w:widowControl/>
      <w:bidi w:val="0"/>
      <w:spacing w:lineRule="auto" w:line="259" w:before="0" w:after="160"/>
      <w:jc w:val="left"/>
    </w:pPr>
    <w:rPr>
      <w:rFonts w:ascii="Calibri" w:hAnsi="Calibri" w:eastAsia="Calibri" w:cs="Times New Roman"/>
      <w:color w:val="auto"/>
      <w:kern w:val="0"/>
      <w:sz w:val="22"/>
      <w:szCs w:val="22"/>
      <w:lang w:eastAsia="en-US" w:val="pl-PL" w:bidi="ar-SA"/>
    </w:rPr>
  </w:style>
  <w:style w:type="paragraph" w:styleId="Nagwek1">
    <w:name w:val="Heading 1"/>
    <w:basedOn w:val="Normal"/>
    <w:link w:val="Nagwek1Znak"/>
    <w:uiPriority w:val="99"/>
    <w:qFormat/>
    <w:rsid w:val="007a4cdc"/>
    <w:pPr>
      <w:keepNext/>
      <w:keepLines/>
      <w:spacing w:before="240" w:after="240"/>
      <w:outlineLvl w:val="0"/>
    </w:pPr>
    <w:rPr>
      <w:rFonts w:ascii="Calibri Light" w:hAnsi="Calibri Light" w:eastAsia="Times New Roman"/>
      <w:color w:val="2F5496"/>
      <w:sz w:val="28"/>
      <w:szCs w:val="32"/>
    </w:rPr>
  </w:style>
  <w:style w:type="paragraph" w:styleId="Nagwek2">
    <w:name w:val="Heading 2"/>
    <w:basedOn w:val="Normal"/>
    <w:link w:val="Nagwek2Znak"/>
    <w:uiPriority w:val="99"/>
    <w:qFormat/>
    <w:rsid w:val="001e2f45"/>
    <w:pPr>
      <w:keepNext/>
      <w:keepLines/>
      <w:spacing w:before="40" w:after="0"/>
      <w:outlineLvl w:val="1"/>
    </w:pPr>
    <w:rPr>
      <w:rFonts w:ascii="Calibri Light" w:hAnsi="Calibri Light" w:eastAsia="Times New Roman"/>
      <w:color w:val="2F5496"/>
      <w:sz w:val="24"/>
      <w:szCs w:val="26"/>
    </w:rPr>
  </w:style>
  <w:style w:type="paragraph" w:styleId="Nagwek3">
    <w:name w:val="Heading 3"/>
    <w:basedOn w:val="Normal"/>
    <w:link w:val="Nagwek3Znak"/>
    <w:uiPriority w:val="99"/>
    <w:qFormat/>
    <w:rsid w:val="007a4cdc"/>
    <w:pPr>
      <w:keepNext/>
      <w:keepLines/>
      <w:spacing w:before="40" w:after="120"/>
      <w:outlineLvl w:val="2"/>
    </w:pPr>
    <w:rPr>
      <w:rFonts w:ascii="Calibri Light" w:hAnsi="Calibri Light" w:eastAsia="Times New Roman"/>
      <w:color w:val="1F3763"/>
      <w:sz w:val="24"/>
      <w:szCs w:val="24"/>
    </w:rPr>
  </w:style>
  <w:style w:type="character" w:styleId="DefaultParagraphFont" w:default="1">
    <w:name w:val="Default Paragraph Font"/>
    <w:uiPriority w:val="1"/>
    <w:semiHidden/>
    <w:unhideWhenUsed/>
    <w:qFormat/>
    <w:rPr/>
  </w:style>
  <w:style w:type="character" w:styleId="Nagwek1Znak" w:customStyle="1">
    <w:name w:val="Nagłówek 1 Znak"/>
    <w:basedOn w:val="DefaultParagraphFont"/>
    <w:link w:val="Nagwek1"/>
    <w:uiPriority w:val="99"/>
    <w:qFormat/>
    <w:locked/>
    <w:rsid w:val="007a4cdc"/>
    <w:rPr>
      <w:rFonts w:ascii="Calibri Light" w:hAnsi="Calibri Light" w:cs="Times New Roman"/>
      <w:color w:val="2F5496"/>
      <w:sz w:val="32"/>
      <w:szCs w:val="32"/>
    </w:rPr>
  </w:style>
  <w:style w:type="character" w:styleId="Nagwek2Znak" w:customStyle="1">
    <w:name w:val="Nagłówek 2 Znak"/>
    <w:basedOn w:val="DefaultParagraphFont"/>
    <w:link w:val="Nagwek2"/>
    <w:uiPriority w:val="99"/>
    <w:qFormat/>
    <w:locked/>
    <w:rsid w:val="001e2f45"/>
    <w:rPr>
      <w:rFonts w:ascii="Calibri Light" w:hAnsi="Calibri Light" w:cs="Times New Roman"/>
      <w:color w:val="2F5496"/>
      <w:sz w:val="26"/>
      <w:szCs w:val="26"/>
    </w:rPr>
  </w:style>
  <w:style w:type="character" w:styleId="Nagwek3Znak" w:customStyle="1">
    <w:name w:val="Nagłówek 3 Znak"/>
    <w:basedOn w:val="DefaultParagraphFont"/>
    <w:link w:val="Nagwek3"/>
    <w:uiPriority w:val="99"/>
    <w:qFormat/>
    <w:locked/>
    <w:rsid w:val="007a4cdc"/>
    <w:rPr>
      <w:rFonts w:ascii="Calibri Light" w:hAnsi="Calibri Light" w:cs="Times New Roman"/>
      <w:color w:val="1F3763"/>
      <w:sz w:val="24"/>
      <w:szCs w:val="24"/>
    </w:rPr>
  </w:style>
  <w:style w:type="character" w:styleId="TekstprzypisudolnegoZnak" w:customStyle="1">
    <w:name w:val="Tekst przypisu dolnego Znak"/>
    <w:basedOn w:val="DefaultParagraphFont"/>
    <w:link w:val="Tekstprzypisudolnego"/>
    <w:uiPriority w:val="99"/>
    <w:semiHidden/>
    <w:qFormat/>
    <w:locked/>
    <w:rsid w:val="00f210c8"/>
    <w:rPr>
      <w:rFonts w:cs="Times New Roman"/>
      <w:sz w:val="20"/>
      <w:szCs w:val="20"/>
    </w:rPr>
  </w:style>
  <w:style w:type="character" w:styleId="Footnotereference">
    <w:name w:val="footnote reference"/>
    <w:basedOn w:val="DefaultParagraphFont"/>
    <w:uiPriority w:val="99"/>
    <w:semiHidden/>
    <w:qFormat/>
    <w:rsid w:val="00f210c8"/>
    <w:rPr>
      <w:rFonts w:cs="Times New Roman"/>
      <w:vertAlign w:val="superscript"/>
    </w:rPr>
  </w:style>
  <w:style w:type="character" w:styleId="Wyrnienie">
    <w:name w:val="Wyróżnienie"/>
    <w:basedOn w:val="DefaultParagraphFont"/>
    <w:uiPriority w:val="99"/>
    <w:qFormat/>
    <w:rsid w:val="002a1839"/>
    <w:rPr>
      <w:rFonts w:cs="Times New Roman"/>
      <w:i/>
      <w:iCs/>
    </w:rPr>
  </w:style>
  <w:style w:type="character" w:styleId="Czeinternetowe">
    <w:name w:val="Łącze internetowe"/>
    <w:basedOn w:val="DefaultParagraphFont"/>
    <w:uiPriority w:val="99"/>
    <w:rsid w:val="00d515d4"/>
    <w:rPr>
      <w:rFonts w:cs="Times New Roman"/>
      <w:color w:val="0563C1"/>
      <w:u w:val="single"/>
    </w:rPr>
  </w:style>
  <w:style w:type="character" w:styleId="Strong">
    <w:name w:val="Strong"/>
    <w:basedOn w:val="DefaultParagraphFont"/>
    <w:uiPriority w:val="99"/>
    <w:qFormat/>
    <w:rsid w:val="00c03f78"/>
    <w:rPr>
      <w:rFonts w:cs="Times New Roman"/>
      <w:b/>
      <w:bCs/>
    </w:rPr>
  </w:style>
  <w:style w:type="character" w:styleId="NagwekZnak" w:customStyle="1">
    <w:name w:val="Nagłówek Znak"/>
    <w:basedOn w:val="DefaultParagraphFont"/>
    <w:link w:val="Nagwek"/>
    <w:uiPriority w:val="99"/>
    <w:qFormat/>
    <w:locked/>
    <w:rsid w:val="0031589d"/>
    <w:rPr>
      <w:rFonts w:cs="Times New Roman"/>
    </w:rPr>
  </w:style>
  <w:style w:type="character" w:styleId="StopkaZnak" w:customStyle="1">
    <w:name w:val="Stopka Znak"/>
    <w:basedOn w:val="DefaultParagraphFont"/>
    <w:link w:val="Stopka"/>
    <w:uiPriority w:val="99"/>
    <w:qFormat/>
    <w:locked/>
    <w:rsid w:val="0031589d"/>
    <w:rPr>
      <w:rFonts w:cs="Times New Roman"/>
    </w:rPr>
  </w:style>
  <w:style w:type="character" w:styleId="TekstkomentarzaZnak" w:customStyle="1">
    <w:name w:val="Tekst komentarza Znak"/>
    <w:basedOn w:val="DefaultParagraphFont"/>
    <w:link w:val="Tekstkomentarza"/>
    <w:uiPriority w:val="99"/>
    <w:semiHidden/>
    <w:qFormat/>
    <w:locked/>
    <w:rsid w:val="00cb1c88"/>
    <w:rPr>
      <w:rFonts w:cs="Times New Roman"/>
      <w:sz w:val="20"/>
      <w:szCs w:val="20"/>
    </w:rPr>
  </w:style>
  <w:style w:type="character" w:styleId="TekstpodstawowyZnak" w:customStyle="1">
    <w:name w:val="Tekst podstawowy Znak"/>
    <w:basedOn w:val="DefaultParagraphFont"/>
    <w:link w:val="Tekstpodstawowy"/>
    <w:uiPriority w:val="99"/>
    <w:semiHidden/>
    <w:qFormat/>
    <w:rsid w:val="00817c25"/>
    <w:rPr>
      <w:rFonts w:ascii="Arial" w:hAnsi="Arial" w:eastAsia="Times New Roman"/>
      <w:sz w:val="24"/>
      <w:szCs w:val="20"/>
    </w:rPr>
  </w:style>
  <w:style w:type="character" w:styleId="TekstpodstawowywcityZnak" w:customStyle="1">
    <w:name w:val="Tekst podstawowy wcięty Znak"/>
    <w:basedOn w:val="DefaultParagraphFont"/>
    <w:link w:val="Tekstpodstawowywcity"/>
    <w:uiPriority w:val="99"/>
    <w:semiHidden/>
    <w:qFormat/>
    <w:rsid w:val="00817c25"/>
    <w:rPr>
      <w:rFonts w:ascii="Arial" w:hAnsi="Arial" w:eastAsia="Times New Roman"/>
      <w:sz w:val="24"/>
      <w:szCs w:val="20"/>
    </w:rPr>
  </w:style>
  <w:style w:type="character" w:styleId="Fontstyle01" w:customStyle="1">
    <w:name w:val="fontstyle01"/>
    <w:basedOn w:val="DefaultParagraphFont"/>
    <w:qFormat/>
    <w:rsid w:val="00b73262"/>
    <w:rPr>
      <w:rFonts w:ascii="Calibri" w:hAnsi="Calibri" w:cs="Calibri"/>
      <w:b w:val="false"/>
      <w:bCs w:val="false"/>
      <w:i w:val="false"/>
      <w:iCs w:val="false"/>
      <w:color w:val="000000"/>
      <w:sz w:val="22"/>
      <w:szCs w:val="22"/>
    </w:rPr>
  </w:style>
  <w:style w:type="character" w:styleId="Fontstyle21" w:customStyle="1">
    <w:name w:val="fontstyle21"/>
    <w:basedOn w:val="DefaultParagraphFont"/>
    <w:qFormat/>
    <w:rsid w:val="00b73262"/>
    <w:rPr>
      <w:rFonts w:ascii="Symbol" w:hAnsi="Symbol"/>
      <w:b w:val="false"/>
      <w:bCs w:val="false"/>
      <w:i w:val="false"/>
      <w:iCs w:val="false"/>
      <w:color w:val="000000"/>
      <w:sz w:val="22"/>
      <w:szCs w:val="22"/>
    </w:rPr>
  </w:style>
  <w:style w:type="character" w:styleId="Nierozpoznanawzmianka1" w:customStyle="1">
    <w:name w:val="Nierozpoznana wzmianka1"/>
    <w:basedOn w:val="DefaultParagraphFont"/>
    <w:uiPriority w:val="99"/>
    <w:semiHidden/>
    <w:unhideWhenUsed/>
    <w:qFormat/>
    <w:rsid w:val="00630f2c"/>
    <w:rPr>
      <w:color w:val="605E5C"/>
      <w:shd w:fill="E1DFDD" w:val="clear"/>
    </w:rPr>
  </w:style>
  <w:style w:type="character" w:styleId="TekstdymkaZnak" w:customStyle="1">
    <w:name w:val="Tekst dymka Znak"/>
    <w:basedOn w:val="DefaultParagraphFont"/>
    <w:link w:val="Tekstdymka"/>
    <w:uiPriority w:val="99"/>
    <w:semiHidden/>
    <w:qFormat/>
    <w:rsid w:val="00d33d97"/>
    <w:rPr>
      <w:rFonts w:ascii="Tahoma" w:hAnsi="Tahoma" w:cs="Tahoma"/>
      <w:sz w:val="16"/>
      <w:szCs w:val="16"/>
      <w:lang w:eastAsia="en-US"/>
    </w:rPr>
  </w:style>
  <w:style w:type="character" w:styleId="ListLabel1">
    <w:name w:val="ListLabel 1"/>
    <w:qFormat/>
    <w:rPr>
      <w:rFonts w:eastAsia="Times New Roman" w:cs="TimesNewRomanPS-BoldMT"/>
      <w:sz w:val="20"/>
    </w:rPr>
  </w:style>
  <w:style w:type="character" w:styleId="ListLabel2">
    <w:name w:val="ListLabel 2"/>
    <w:qFormat/>
    <w:rPr>
      <w:rFonts w:cs="Times New Roman"/>
    </w:rPr>
  </w:style>
  <w:style w:type="character" w:styleId="ListLabel3">
    <w:name w:val="ListLabel 3"/>
    <w:qFormat/>
    <w:rPr>
      <w:rFonts w:cs="Times New Roman"/>
    </w:rPr>
  </w:style>
  <w:style w:type="character" w:styleId="ListLabel4">
    <w:name w:val="ListLabel 4"/>
    <w:qFormat/>
    <w:rPr>
      <w:rFonts w:cs="Times New Roman"/>
    </w:rPr>
  </w:style>
  <w:style w:type="character" w:styleId="ListLabel5">
    <w:name w:val="ListLabel 5"/>
    <w:qFormat/>
    <w:rPr>
      <w:rFonts w:cs="Times New Roman"/>
    </w:rPr>
  </w:style>
  <w:style w:type="character" w:styleId="ListLabel6">
    <w:name w:val="ListLabel 6"/>
    <w:qFormat/>
    <w:rPr>
      <w:rFonts w:cs="Times New Roman"/>
    </w:rPr>
  </w:style>
  <w:style w:type="character" w:styleId="ListLabel7">
    <w:name w:val="ListLabel 7"/>
    <w:qFormat/>
    <w:rPr>
      <w:rFonts w:cs="Times New Roman"/>
    </w:rPr>
  </w:style>
  <w:style w:type="character" w:styleId="ListLabel8">
    <w:name w:val="ListLabel 8"/>
    <w:qFormat/>
    <w:rPr>
      <w:rFonts w:cs="Times New Roman"/>
    </w:rPr>
  </w:style>
  <w:style w:type="character" w:styleId="ListLabel9">
    <w:name w:val="ListLabel 9"/>
    <w:qFormat/>
    <w:rPr>
      <w:rFonts w:cs="Times New Roman"/>
    </w:rPr>
  </w:style>
  <w:style w:type="character" w:styleId="ListLabel10">
    <w:name w:val="ListLabel 10"/>
    <w:qFormat/>
    <w:rPr>
      <w:rFonts w:cs="Times New Roman"/>
    </w:rPr>
  </w:style>
  <w:style w:type="character" w:styleId="ListLabel11">
    <w:name w:val="ListLabel 11"/>
    <w:qFormat/>
    <w:rPr>
      <w:rFonts w:cs="Times New Roman"/>
    </w:rPr>
  </w:style>
  <w:style w:type="character" w:styleId="ListLabel12">
    <w:name w:val="ListLabel 12"/>
    <w:qFormat/>
    <w:rPr>
      <w:rFonts w:cs="Times New Roman"/>
    </w:rPr>
  </w:style>
  <w:style w:type="character" w:styleId="ListLabel13">
    <w:name w:val="ListLabel 13"/>
    <w:qFormat/>
    <w:rPr>
      <w:rFonts w:cs="Times New Roman"/>
    </w:rPr>
  </w:style>
  <w:style w:type="character" w:styleId="ListLabel14">
    <w:name w:val="ListLabel 14"/>
    <w:qFormat/>
    <w:rPr>
      <w:rFonts w:cs="Times New Roman"/>
    </w:rPr>
  </w:style>
  <w:style w:type="character" w:styleId="ListLabel15">
    <w:name w:val="ListLabel 15"/>
    <w:qFormat/>
    <w:rPr>
      <w:rFonts w:cs="Times New Roman"/>
    </w:rPr>
  </w:style>
  <w:style w:type="character" w:styleId="ListLabel16">
    <w:name w:val="ListLabel 16"/>
    <w:qFormat/>
    <w:rPr>
      <w:rFonts w:cs="Times New Roman"/>
    </w:rPr>
  </w:style>
  <w:style w:type="character" w:styleId="ListLabel17">
    <w:name w:val="ListLabel 17"/>
    <w:qFormat/>
    <w:rPr>
      <w:rFonts w:cs="Times New Roman"/>
    </w:rPr>
  </w:style>
  <w:style w:type="character" w:styleId="ListLabel18">
    <w:name w:val="ListLabel 18"/>
    <w:qFormat/>
    <w:rPr>
      <w:rFonts w:cs="Times New Roman"/>
    </w:rPr>
  </w:style>
  <w:style w:type="paragraph" w:styleId="Nagwek">
    <w:name w:val="Nagłówek"/>
    <w:basedOn w:val="Normal"/>
    <w:next w:val="Tretekstu"/>
    <w:qFormat/>
    <w:pPr>
      <w:keepNext/>
      <w:spacing w:before="240" w:after="120"/>
    </w:pPr>
    <w:rPr>
      <w:rFonts w:ascii="Liberation Sans" w:hAnsi="Liberation Sans" w:eastAsia="Microsoft YaHei" w:cs="Lucida Sans"/>
      <w:sz w:val="28"/>
      <w:szCs w:val="28"/>
    </w:rPr>
  </w:style>
  <w:style w:type="paragraph" w:styleId="Tretekstu">
    <w:name w:val="Body Text"/>
    <w:basedOn w:val="Normal"/>
    <w:link w:val="TekstpodstawowyZnak"/>
    <w:uiPriority w:val="99"/>
    <w:semiHidden/>
    <w:rsid w:val="00817c25"/>
    <w:pPr>
      <w:spacing w:lineRule="auto" w:line="240" w:before="0" w:after="0"/>
      <w:jc w:val="both"/>
    </w:pPr>
    <w:rPr>
      <w:rFonts w:ascii="Arial" w:hAnsi="Arial" w:eastAsia="Times New Roman"/>
      <w:sz w:val="24"/>
      <w:szCs w:val="20"/>
      <w:lang w:eastAsia="pl-PL"/>
    </w:rPr>
  </w:style>
  <w:style w:type="paragraph" w:styleId="Lista">
    <w:name w:val="List"/>
    <w:basedOn w:val="Tretekstu"/>
    <w:pPr/>
    <w:rPr>
      <w:rFonts w:cs="Lucida Sans"/>
    </w:rPr>
  </w:style>
  <w:style w:type="paragraph" w:styleId="Podpis">
    <w:name w:val="Caption"/>
    <w:basedOn w:val="Normal"/>
    <w:qFormat/>
    <w:pPr>
      <w:suppressLineNumbers/>
      <w:spacing w:before="120" w:after="120"/>
    </w:pPr>
    <w:rPr>
      <w:rFonts w:cs="Lucida Sans"/>
      <w:i/>
      <w:iCs/>
      <w:sz w:val="24"/>
      <w:szCs w:val="24"/>
    </w:rPr>
  </w:style>
  <w:style w:type="paragraph" w:styleId="Indeks">
    <w:name w:val="Indeks"/>
    <w:basedOn w:val="Normal"/>
    <w:qFormat/>
    <w:pPr>
      <w:suppressLineNumbers/>
    </w:pPr>
    <w:rPr>
      <w:rFonts w:cs="Lucida Sans"/>
    </w:rPr>
  </w:style>
  <w:style w:type="paragraph" w:styleId="Footnotetext">
    <w:name w:val="footnote text"/>
    <w:basedOn w:val="Normal"/>
    <w:link w:val="TekstprzypisudolnegoZnak"/>
    <w:uiPriority w:val="99"/>
    <w:semiHidden/>
    <w:qFormat/>
    <w:rsid w:val="00f210c8"/>
    <w:pPr>
      <w:spacing w:lineRule="auto" w:line="240" w:before="0" w:after="0"/>
    </w:pPr>
    <w:rPr>
      <w:sz w:val="20"/>
      <w:szCs w:val="20"/>
    </w:rPr>
  </w:style>
  <w:style w:type="paragraph" w:styleId="NormalWeb">
    <w:name w:val="Normal (Web)"/>
    <w:basedOn w:val="Normal"/>
    <w:uiPriority w:val="99"/>
    <w:qFormat/>
    <w:rsid w:val="00c03f78"/>
    <w:pPr>
      <w:spacing w:lineRule="auto" w:line="240" w:beforeAutospacing="1" w:after="119"/>
    </w:pPr>
    <w:rPr>
      <w:rFonts w:ascii="Times New Roman" w:hAnsi="Times New Roman"/>
      <w:sz w:val="24"/>
      <w:szCs w:val="24"/>
      <w:lang w:eastAsia="pl-PL"/>
    </w:rPr>
  </w:style>
  <w:style w:type="paragraph" w:styleId="ListParagraph">
    <w:name w:val="List Paragraph"/>
    <w:basedOn w:val="Normal"/>
    <w:uiPriority w:val="99"/>
    <w:qFormat/>
    <w:rsid w:val="00c03f78"/>
    <w:pPr>
      <w:spacing w:lineRule="auto" w:line="240" w:before="0" w:after="0"/>
      <w:ind w:left="720" w:hanging="0"/>
    </w:pPr>
    <w:rPr>
      <w:rFonts w:ascii="Times New Roman" w:hAnsi="Times New Roman"/>
      <w:sz w:val="24"/>
      <w:szCs w:val="24"/>
      <w:lang w:eastAsia="pl-PL"/>
    </w:rPr>
  </w:style>
  <w:style w:type="paragraph" w:styleId="Gwka">
    <w:name w:val="Header"/>
    <w:basedOn w:val="Normal"/>
    <w:link w:val="NagwekZnak"/>
    <w:uiPriority w:val="99"/>
    <w:rsid w:val="0031589d"/>
    <w:pPr>
      <w:tabs>
        <w:tab w:val="center" w:pos="4536" w:leader="none"/>
        <w:tab w:val="right" w:pos="9072" w:leader="none"/>
      </w:tabs>
      <w:spacing w:lineRule="auto" w:line="240" w:before="0" w:after="0"/>
    </w:pPr>
    <w:rPr/>
  </w:style>
  <w:style w:type="paragraph" w:styleId="Stopka">
    <w:name w:val="Footer"/>
    <w:basedOn w:val="Normal"/>
    <w:link w:val="StopkaZnak"/>
    <w:uiPriority w:val="99"/>
    <w:rsid w:val="0031589d"/>
    <w:pPr>
      <w:tabs>
        <w:tab w:val="center" w:pos="4536" w:leader="none"/>
        <w:tab w:val="right" w:pos="9072" w:leader="none"/>
      </w:tabs>
      <w:spacing w:lineRule="auto" w:line="240" w:before="0" w:after="0"/>
    </w:pPr>
    <w:rPr/>
  </w:style>
  <w:style w:type="paragraph" w:styleId="Annotationtext">
    <w:name w:val="annotation text"/>
    <w:basedOn w:val="Normal"/>
    <w:link w:val="TekstkomentarzaZnak"/>
    <w:uiPriority w:val="99"/>
    <w:semiHidden/>
    <w:qFormat/>
    <w:rsid w:val="00cb1c88"/>
    <w:pPr>
      <w:spacing w:lineRule="auto" w:line="240"/>
    </w:pPr>
    <w:rPr>
      <w:sz w:val="20"/>
      <w:szCs w:val="20"/>
    </w:rPr>
  </w:style>
  <w:style w:type="paragraph" w:styleId="Wcicietrecitekstu">
    <w:name w:val="Body Text Indent"/>
    <w:basedOn w:val="Normal"/>
    <w:link w:val="TekstpodstawowywcityZnak"/>
    <w:uiPriority w:val="99"/>
    <w:semiHidden/>
    <w:rsid w:val="00817c25"/>
    <w:pPr>
      <w:spacing w:lineRule="auto" w:line="240" w:before="0" w:after="0"/>
      <w:ind w:left="4536" w:hanging="0"/>
    </w:pPr>
    <w:rPr>
      <w:rFonts w:ascii="Arial" w:hAnsi="Arial" w:eastAsia="Times New Roman"/>
      <w:sz w:val="24"/>
      <w:szCs w:val="20"/>
      <w:lang w:eastAsia="pl-PL"/>
    </w:rPr>
  </w:style>
  <w:style w:type="paragraph" w:styleId="BalloonText">
    <w:name w:val="Balloon Text"/>
    <w:basedOn w:val="Normal"/>
    <w:link w:val="TekstdymkaZnak"/>
    <w:uiPriority w:val="99"/>
    <w:semiHidden/>
    <w:unhideWhenUsed/>
    <w:qFormat/>
    <w:rsid w:val="00d33d97"/>
    <w:pPr>
      <w:spacing w:lineRule="auto" w:line="240" w:before="0" w:after="0"/>
    </w:pPr>
    <w:rPr>
      <w:rFonts w:ascii="Tahoma" w:hAnsi="Tahoma" w:cs="Tahoma"/>
      <w:sz w:val="16"/>
      <w:szCs w:val="16"/>
    </w:rPr>
  </w:style>
  <w:style w:type="numbering" w:styleId="NoList" w:default="1">
    <w:name w:val="No List"/>
    <w:uiPriority w:val="99"/>
    <w:semiHidden/>
    <w:unhideWhenUsed/>
    <w:qFormat/>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table" w:styleId="Tabela-Siatka">
    <w:name w:val="Table Grid"/>
    <w:basedOn w:val="Standardowy"/>
    <w:uiPriority w:val="99"/>
    <w:rsid w:val="003d138e"/>
    <w:rPr>
      <w:sz w:val="20"/>
      <w:szCs w:val="20"/>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wmf"/><Relationship Id="rId6" Type="http://schemas.openxmlformats.org/officeDocument/2006/relationships/footer" Target="footer1.xml"/><Relationship Id="rId7" Type="http://schemas.openxmlformats.org/officeDocument/2006/relationships/image" Target="media/image6.png"/><Relationship Id="rId8" Type="http://schemas.openxmlformats.org/officeDocument/2006/relationships/footer" Target="footer2.xml"/><Relationship Id="rId9" Type="http://schemas.openxmlformats.org/officeDocument/2006/relationships/image" Target="media/image8.wmf"/><Relationship Id="rId10" Type="http://schemas.openxmlformats.org/officeDocument/2006/relationships/hyperlink" Target="http://infogzm.metropoliagzm.pl/mapy/przeplywy.html" TargetMode="External"/><Relationship Id="rId11" Type="http://schemas.openxmlformats.org/officeDocument/2006/relationships/footer" Target="footer3.xml"/><Relationship Id="rId12" Type="http://schemas.openxmlformats.org/officeDocument/2006/relationships/image" Target="media/image10.jpeg"/><Relationship Id="rId13" Type="http://schemas.openxmlformats.org/officeDocument/2006/relationships/image" Target="media/image11.jpeg"/><Relationship Id="rId14" Type="http://schemas.openxmlformats.org/officeDocument/2006/relationships/footer" Target="footer4.xml"/><Relationship Id="rId15" Type="http://schemas.openxmlformats.org/officeDocument/2006/relationships/footer" Target="footer5.xml"/><Relationship Id="rId16" Type="http://schemas.openxmlformats.org/officeDocument/2006/relationships/fontTable" Target="fontTable.xml"/><Relationship Id="rId17" Type="http://schemas.openxmlformats.org/officeDocument/2006/relationships/settings" Target="settings.xml"/><Relationship Id="rId18" Type="http://schemas.openxmlformats.org/officeDocument/2006/relationships/theme" Target="theme/theme1.xml"/><Relationship Id="rId19" Type="http://schemas.openxmlformats.org/officeDocument/2006/relationships/customXml" Target="../customXml/item1.xml"/>
</Relationships>
</file>

<file path=word/_rels/footer1.xml.rels><?xml version="1.0" encoding="UTF-8"?>
<Relationships xmlns="http://schemas.openxmlformats.org/package/2006/relationships"><Relationship Id="rId1" Type="http://schemas.openxmlformats.org/officeDocument/2006/relationships/image" Target="media/image5.png"/>
</Relationships>
</file>

<file path=word/_rels/footer2.xml.rels><?xml version="1.0" encoding="UTF-8"?>
<Relationships xmlns="http://schemas.openxmlformats.org/package/2006/relationships"><Relationship Id="rId1" Type="http://schemas.openxmlformats.org/officeDocument/2006/relationships/image" Target="media/image7.png"/>
</Relationships>
</file>

<file path=word/_rels/footer3.xml.rels><?xml version="1.0" encoding="UTF-8"?>
<Relationships xmlns="http://schemas.openxmlformats.org/package/2006/relationships"><Relationship Id="rId1" Type="http://schemas.openxmlformats.org/officeDocument/2006/relationships/image" Target="media/image9.png"/>
</Relationships>
</file>

<file path=word/_rels/footer4.xml.rels><?xml version="1.0" encoding="UTF-8"?>
<Relationships xmlns="http://schemas.openxmlformats.org/package/2006/relationships"><Relationship Id="rId1" Type="http://schemas.openxmlformats.org/officeDocument/2006/relationships/image" Target="media/image12.png"/>
</Relationships>
</file>

<file path=word/_rels/footer5.xml.rels><?xml version="1.0" encoding="UTF-8"?>
<Relationships xmlns="http://schemas.openxmlformats.org/package/2006/relationships"><Relationship Id="rId1" Type="http://schemas.openxmlformats.org/officeDocument/2006/relationships/image" Target="media/image1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29EED0-CE25-4590-8CBC-4405C90181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Application>LibreOffice/5.4.1.2$Windows_x86 LibreOffice_project/ea7cb86e6eeb2bf3a5af73a8f7777ac570321527</Application>
  <Pages>10</Pages>
  <Words>1827</Words>
  <Characters>11588</Characters>
  <CharactersWithSpaces>13247</CharactersWithSpaces>
  <Paragraphs>219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2022-02-15T13:56:00Z</dcterms:created>
  <dc:creator>UM</dc:creator>
  <dc:description/>
  <dc:language>pl-PL</dc:language>
  <cp:lastModifiedBy>WRP_GS</cp:lastModifiedBy>
  <cp:lastPrinted>2022-02-15T13:03:00Z</cp:lastPrinted>
  <dcterms:modified xsi:type="dcterms:W3CDTF">2022-02-15T13:56:00Z</dcterms:modified>
  <cp:revision>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