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  <w:r>
        <w:rPr>
          <w:rFonts w:ascii="Times New Roman" w:eastAsia="Times New Roman" w:hAnsi="Times New Roman" w:cs="Times New Roman"/>
          <w:b/>
          <w:i/>
          <w:sz w:val="20"/>
          <w:u w:val="thick"/>
        </w:rPr>
        <w:t>Projekt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/>
          <w:i/>
          <w:sz w:val="20"/>
          <w:u w:val="thick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 dnia  6 grudnia 2023 r.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  <w:t>Zatwierdzony przez .........................</w:t>
      </w: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/>
        <w:ind w:left="5669" w:right="0"/>
        <w:jc w:val="left"/>
        <w:rPr>
          <w:rFonts w:ascii="Times New Roman" w:eastAsia="Times New Roman" w:hAnsi="Times New Roman" w:cs="Times New Roman"/>
          <w:b w:val="0"/>
          <w:i w:val="0"/>
          <w:sz w:val="20"/>
          <w:u w:val="none"/>
        </w:rPr>
      </w:pPr>
    </w:p>
    <w:p w:rsidR="00A77B3E">
      <w:pPr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Uchwała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 xml:space="preserve"> Nr 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....................</w:t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  <w:t>Rady Miejskiej w Sosnowcu</w:t>
      </w:r>
    </w:p>
    <w:p w:rsidR="00A77B3E">
      <w:pPr>
        <w:spacing w:before="280" w:after="280" w:line="240" w:lineRule="auto"/>
        <w:ind w:left="0" w:right="0"/>
        <w:jc w:val="center"/>
        <w:rPr>
          <w:rFonts w:ascii="Times New Roman" w:eastAsia="Times New Roman" w:hAnsi="Times New Roman" w:cs="Times New Roman"/>
          <w:b/>
          <w:i w:val="0"/>
          <w:caps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z w:val="22"/>
          <w:u w:val="none"/>
        </w:rPr>
        <w:t>w sprawie zmiany uchwały Nr 1249/LXXIX/2023 Rady Miejskiej w Sosnowcu z dnia 28 września 2023 r. w sprawie ustalenia Regulaminu określającego wysokość oraz szczegółowe warunki przyznawania nauczycielom dodatków do wynagrodzenia zasadniczego oraz szczegółowy sposób obliczania wynagrodzenia za godziny ponadwymiarowe i godziny doraźnych zastępstw.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Na podstawie art. 18 ust. 2 pkt 15, art. 40 ust. 1 i art. 42 ustawy z dnia 8 marca 1990 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samorządzie gminnym (tj. Dz. U. z 2023 r. poz.40 ze zm.), art. 12 pkt 11i art. 92 ust. 1 pkt 1 ustawy z dnia 5 czerwca 1998 r. o samorządzie powiatowym (tj. Dz. U. z 2022 r. poz. 1526 ze zm.), art. 30 ust. 6 pkt 1 i 6a oraz art. 91d pkt 1 ustawy z dnia 26 stycznia 1982 r. Karta Nauczyciela (tj. Dz. 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2023 r. poz. 984 ze zm.) w związku z rozporządzeniem Ministra Edukacji Narodowej i Sportu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dnia 31 stycznia 2005 r. w sprawie wysokości minimalnych stawek wynagrodzenia zasadniczego nauczycieli, ogólnych warunków przyznawania dodatków do wynagrodzenia zasadniczego oraz wynagrodzenia za pracę w dniu wolnym od pracy (tj. Dz. U. z 2014 r., poz. 416 ze zm.) oraz art. 4 ust. 2 ustawy z dnia 20 lipca 2000 r. o ogłaszaniu aktów normatywnych i niektórych innych aktów prawnych (tj. Dz. U. z 2019 r. poz. 1461), Rada Miejska w Sosnowcu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W Regulaminie określającym wysokość oraz szczegółowe warunki przyznawania nauczycielom dodatków do wynagrodzenia zasadniczego oraz szczegółowy sposób obliczania wynagrodzenia za godziny ponadwymiarowe i godziny doraźnych zastępstw, stanowiącym załącznik do uchwały Nr 1249/LXXIX/2023 Rady Miejskiej w Sosnowcu z dnia 28 września 2023 r. w sprawie ustalenia Regulaminu określającego wysokość oraz szczegółowe warunki przyznawania nauczycielom dodatków do wynagrodzenia zasadniczego oraz szczegółowy sposób obliczania wynagrodzenia za godziny ponadwymiarowe i godziny doraźnych zastępstw (dalej: „Regulamin”), wprowadza się następujące zmiany: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</w:rPr>
        <w:t>§ 6 ust. 1 Regulaminu otrzymuje brzmienie: „Ustala się kwotową wysokość dodatku funkcyjnego dla dyrektora szkoły wg poniższej tabeli”: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6"/>
        <w:gridCol w:w="7201"/>
        <w:gridCol w:w="1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>Stanowisko kierownicze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br/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Wysokość dodatku w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Dyrektor przedszkola liczącego: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3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 oddziały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1990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5 do 6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7 do 8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2070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9 do 10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10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2.</w:t>
            </w:r>
          </w:p>
          <w:p/>
          <w:p/>
          <w:p/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Dyrektor szkoły podstawowej liczącej: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11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12 do 13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14 do 15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16 do 17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18 do 19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 do 21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2350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22 do 23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24 do 25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od 26 do 27 oddziałów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28 do 29 oddziałów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 i więcej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Dyrektor liceum liczącego: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13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14 do 16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17 do 19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 i więcej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4.</w:t>
            </w:r>
          </w:p>
          <w:p/>
          <w:p/>
          <w:p/>
          <w:p/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Dyrektor zespołu szkół liczącego: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10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11 do 13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14 do 16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17 do 19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 do 22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23 do 25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26 do 28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29 do 31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32 do 34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35 do 37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od 38 do 40 oddziałów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od 41 do 43 oddziałów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44 do 46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47 do 49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50 i więcej oddziałów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Dyrektor centrum kształcenia zawodowego 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i ustawicznego liczącego: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do 45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46 do 66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67 do 87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88 i więcej oddziałów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3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Dyrektor: poradni psychologiczno – pedagogicznej, Centrum Doskonalenia Nauczycieli, placówek zajęć pozaszkolnych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0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2000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§ 6 ust. 4 Regulaminu po pkt 3 dodaje się pkt 4) w brzmieniu „prowadzenia oddziałów klas realizujących program „Międzynarodowej Matury”– 25% stawki wynagrodzenia zasadniczego nauczyciela mianowanego z przygotowaniem pedagogicznym”.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8 ust. 4 Regulaminu otrzymuje brzmienie „90% stawki osobistego zaszeregowania nauczyciela za prowadzenie zajęć dydaktycznych w oddziałach realizujących program „Międzynarodowej Matury” z przedmiotów objętych postępowaniem egzaminacyjnym”. Dodatek ten ustala się proporcjonalnie do ilości przepracowanych 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§ 8 Regulaminu po ust. 5 dodaje się ust. 6 w brzmieniu: „6% stawki wynagrodzenia zasadniczego nauczyciela mianowanego z przygotowaniem pedagogicznym za prowadzenie zajęć wczesnego wspomagania rozwoju dziecka”. Dodatek ten ustala się proporcjonalnie do ilości przepracowanych godzin.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Prezydentowi Miasta Sosnowca.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 Dzienniku Urzędowym Województwa Śląskiego i 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życie 1 stycznia 2024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 w Sosnowcu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Ewa Szota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36E87BB4-D16C-4E01-9BDB-3520DC2F58C2.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Sosnowcu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6 grudnia 2023 r.</dc:title>
  <dc:subject>w sprawie zmiany uchwały Nr^1249/LXXIX/2023 Rady Miejskiej w^Sosnowcu z^dnia 28^września 2023^r. w^sprawie ustalenia Regulaminu określającego wysokość oraz szczegółowe warunki przyznawania nauczycielom dodatków do wynagrodzenia zasadniczego oraz szczegółowy sposób obliczania wynagrodzenia za godziny ponadwymiarowe i^godziny doraźnych zastępstw.</dc:subject>
  <dc:creator>DELL</dc:creator>
  <cp:lastModifiedBy>DELL</cp:lastModifiedBy>
  <cp:revision>1</cp:revision>
  <dcterms:created xsi:type="dcterms:W3CDTF">2023-12-06T10:54:23Z</dcterms:created>
  <dcterms:modified xsi:type="dcterms:W3CDTF">2023-12-06T10:54:23Z</dcterms:modified>
  <cp:category>Akt prawny</cp:category>
</cp:coreProperties>
</file>