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Lokalna Organizacja Turystyczna (LOT) – zasady powołania i funkcjonowania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Lokalna Organizacja Turystyczna (LOT) to stowarzyszenie działające na poziomie lokalnym, którego celem jest promocja i rozwój turystyki na danym obszarze. LOT-y łączą różne podmioty zainteresowane rozwojem turystyki, takie jak samorządy, przedsiębiorcy branży turystycznej, instytucje kultury oraz organizacje pozarządowe. Działają na zasadach określonych w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ustawie o organizacji turystyki</w:t>
      </w:r>
      <w:r>
        <w:rPr>
          <w:rFonts w:eastAsia="Times New Roman" w:cs="Times New Roman"/>
          <w:sz w:val="24"/>
          <w:szCs w:val="24"/>
          <w:lang w:eastAsia="pl-PL"/>
        </w:rPr>
        <w:t xml:space="preserve"> oraz przepisach prawa o stowarzyszeniach.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Zasady powoływania i funkcjonowania Lokalnych Organizacji Turystycznych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Inicjatywa powołania</w:t>
      </w:r>
      <w:r>
        <w:rPr>
          <w:rFonts w:eastAsia="Times New Roman" w:cs="Times New Roman"/>
          <w:sz w:val="24"/>
          <w:szCs w:val="24"/>
          <w:lang w:eastAsia="pl-PL"/>
        </w:rPr>
        <w:t xml:space="preserve"> – LOT powstaje na podstawie porozumienia różnych podmiotów działających w turystyce i kulturze, które dostrzegają potrzebę wspólnej promocji regionu.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Forma prawna</w:t>
      </w:r>
      <w:r>
        <w:rPr>
          <w:rFonts w:eastAsia="Times New Roman" w:cs="Times New Roman"/>
          <w:sz w:val="24"/>
          <w:szCs w:val="24"/>
          <w:lang w:eastAsia="pl-PL"/>
        </w:rPr>
        <w:t xml:space="preserve"> – jest to stowarzyszenie, dlatego jego powstanie wymaga zebrania minimum 7 członków-założycieli, opracowania statutu i rejestracji w Krajowym Rejestrze Sądowym.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Członkowie</w:t>
      </w:r>
      <w:r>
        <w:rPr>
          <w:rFonts w:eastAsia="Times New Roman" w:cs="Times New Roman"/>
          <w:sz w:val="24"/>
          <w:szCs w:val="24"/>
          <w:lang w:eastAsia="pl-PL"/>
        </w:rPr>
        <w:t xml:space="preserve"> – mogą nimi być zarówno jednostki samorządu terytorialnego (miasta, gminy, powiaty), jak i przedsiębiorcy, organizacje pozarządowe, muzea, hotele, biura podróży i inne podmioty związane z turystyką.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Cele działalności</w:t>
      </w:r>
      <w:r>
        <w:rPr>
          <w:rFonts w:eastAsia="Times New Roman" w:cs="Times New Roman"/>
          <w:sz w:val="24"/>
          <w:szCs w:val="24"/>
          <w:lang w:eastAsia="pl-PL"/>
        </w:rPr>
        <w:t>:</w:t>
      </w:r>
    </w:p>
    <w:p>
      <w:pPr>
        <w:pStyle w:val="Normal"/>
        <w:numPr>
          <w:ilvl w:val="1"/>
          <w:numId w:val="9"/>
        </w:numPr>
        <w:spacing w:lineRule="auto" w:line="240" w:beforeAutospacing="1" w:after="0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promocja regionu jako atrakcji turystycznej,</w:t>
      </w:r>
    </w:p>
    <w:p>
      <w:pPr>
        <w:pStyle w:val="Normal"/>
        <w:numPr>
          <w:ilvl w:val="1"/>
          <w:numId w:val="9"/>
        </w:numPr>
        <w:spacing w:lineRule="auto" w:line="240" w:before="0" w:after="0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organizacja wydarzeń i kampanii marketingowych,</w:t>
      </w:r>
    </w:p>
    <w:p>
      <w:pPr>
        <w:pStyle w:val="Normal"/>
        <w:numPr>
          <w:ilvl w:val="1"/>
          <w:numId w:val="9"/>
        </w:numPr>
        <w:spacing w:lineRule="auto" w:line="240" w:before="0" w:after="0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wspieranie lokalnych atrakcji turystycznych,</w:t>
      </w:r>
    </w:p>
    <w:p>
      <w:pPr>
        <w:pStyle w:val="Normal"/>
        <w:numPr>
          <w:ilvl w:val="1"/>
          <w:numId w:val="9"/>
        </w:numPr>
        <w:spacing w:lineRule="auto" w:line="240" w:before="0" w:after="0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współpraca z Polską Organizacją Turystyczną (POT) i regionalnymi organizacjami turystycznymi (ROT),</w:t>
      </w:r>
    </w:p>
    <w:p>
      <w:pPr>
        <w:pStyle w:val="Normal"/>
        <w:numPr>
          <w:ilvl w:val="1"/>
          <w:numId w:val="9"/>
        </w:numPr>
        <w:spacing w:lineRule="auto" w:line="240" w:before="0" w:afterAutospacing="1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rozwój infrastruktury turystycznej i oferty kulturalnej.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Finansowanie</w:t>
      </w:r>
      <w:r>
        <w:rPr>
          <w:rFonts w:eastAsia="Times New Roman" w:cs="Times New Roman"/>
          <w:sz w:val="24"/>
          <w:szCs w:val="24"/>
          <w:lang w:eastAsia="pl-PL"/>
        </w:rPr>
        <w:t xml:space="preserve"> – LOT finansuje swoją działalność ze składek członkowskich, dotacji samorządowych, funduszy unijnych oraz od</w:t>
      </w:r>
      <w:bookmarkStart w:id="0" w:name="_GoBack"/>
      <w:bookmarkEnd w:id="0"/>
      <w:r>
        <w:rPr>
          <w:rFonts w:eastAsia="Times New Roman" w:cs="Times New Roman"/>
          <w:sz w:val="24"/>
          <w:szCs w:val="24"/>
          <w:lang w:eastAsia="pl-PL"/>
        </w:rPr>
        <w:t xml:space="preserve"> sponsorów i partnerów.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Lokalna Organizacja Turystyczna w Zagłębiu Dąbrowskim 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Zagłębie Dąbrowskie, posiada wiele unikalnych walorów turystycznych – od dziedzictwa przemysłowego, poprzez przykłady architektury modernistycznej czy pałacowej, po historyczne miejsca związane z kulturą żydowską i wielokulturowością regionu a także licznymi terenami rekreacyjno-sportowymi. Pomimo tego, nie jest powszechnie kojarzone jako destynacja turystyczna, co od lat skłania różne środowiska do podejmowania działań na rzecz lepszej promocji i koordynacji oferty turystycznej.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Inicjatywy na rzecz utworzenia LOT podejmowane w Sosnowcu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Pierwsze rozmowy na temat powołania Organizacji Turystycznej na terenie Zagłębia Dąbrowskiego  miały miejsce w 2009 r.  Brali w nich udział m.in. przedstawiciele UM w Sosnowcu, Starostwa Powiatowego w Będzinie, PTTK, FdZD oraz WS Humanitas. 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/>
          <w:sz w:val="24"/>
          <w:szCs w:val="24"/>
          <w:lang w:eastAsia="pl-PL"/>
        </w:rPr>
        <w:t>Kolejne spotkanie odbyło się we wrześniu 2019 r. Na zorganizowanym  UM w Sosnowcu spotkaniu obecnych było 21 osób w tym inicjator powstania LOTu p. … , dyrektorka ŚOTu, przewodniczący Sosnowieckiej Rady Miejksiej, Agencji Rozwoju Lokalnego, przedstawiciele: MOSiR, Sławkowa, Psar, Ogrodzieńca, Pilicy, Będzina, Żarnowca, Janowa, PTTK i FdZD.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Dalsze, zaplanowane działania na II kwartał 2020r.  zostały zablokowane przez pandemię.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Problemy i wyzwania w utworzeniu LOT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Mimo pozytywnego odbioru pomysłu, do tej pory nie udało się formalnie powołać Lokalnej Organizacji Turystycznej  na terenie Zagłębia Dąbrowskiego. Główne bariery to: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Finansowanie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Wyłonienie koordynatora działań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Siedziba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Konkurencja z innymi podmiotami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Szanse na utworzenie LOT  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Pomimo dotychczasowych trudności, idea Lokalnej Organizacji Turystycznej w Sosnowcu wciąż pozostaje otwarta. Możliwe ścieżki działania obejmują:</w:t>
      </w:r>
    </w:p>
    <w:p>
      <w:pPr>
        <w:pStyle w:val="Normal"/>
        <w:numPr>
          <w:ilvl w:val="0"/>
          <w:numId w:val="3"/>
        </w:numPr>
        <w:spacing w:lineRule="auto" w:line="240" w:beforeAutospacing="1" w:after="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nawiązanie ściślejszej współpracy z Śląską Organizacją Turystyczną, co mogłoby pomóc w pozyskaniu środków i know-how,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organizację spotkań konsultacyjnych dla potencjalnych członków, aby wypracować wspólną strategię działania,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stworzenie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klastra turystycznego</w:t>
      </w:r>
      <w:r>
        <w:rPr>
          <w:rFonts w:eastAsia="Times New Roman" w:cs="Times New Roman"/>
          <w:sz w:val="24"/>
          <w:szCs w:val="24"/>
          <w:lang w:eastAsia="pl-PL"/>
        </w:rPr>
        <w:t>, który mógłby stać się zalążkiem przyszłej LOT,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wykorzystanie funduszy unijnych i krajowych na rozwój organizacji turystycznych,</w:t>
      </w:r>
    </w:p>
    <w:p>
      <w:pPr>
        <w:pStyle w:val="Normal"/>
        <w:numPr>
          <w:ilvl w:val="0"/>
          <w:numId w:val="3"/>
        </w:numPr>
        <w:spacing w:lineRule="auto" w:line="240" w:before="0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lepszą koordynację działań promocyjnych i wykorzystanie potencjału instytucji miejskich.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Aby skutecznie powołać i rozwijać Lokalną Organizację Turystyczną w Sosnowcu, konieczne jest zaplanowanie konkretnych działań, które zintegrują lokalne środowiska i przyczynią się do promocji miasta. Poniżej przedstawiamy propozycję kroków, które mogą pomóc w uruchomieniu LOT i jej późniejszym funkcjonowaniu.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Times New Roman"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Etap inicjacyjny – powołanie Lokalnej Organizacji Turystycznej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Zebranie potencjalnych członków LOT</w:t>
      </w:r>
    </w:p>
    <w:p>
      <w:pPr>
        <w:pStyle w:val="ListParagraph"/>
        <w:numPr>
          <w:ilvl w:val="0"/>
          <w:numId w:val="10"/>
        </w:numPr>
        <w:spacing w:lineRule="auto" w:line="240" w:beforeAutospacing="1" w:after="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Organizacja spotkania z przedstawicielami instytucji kultury, władz sąsiednich miast i gmin, przedsiębiorców turystycznych (hotele, gastronomia, przewodnicy, biura podróży), organizacji pozarządowych oraz lokalnych pasjonatów historii i turystyki.</w:t>
      </w:r>
    </w:p>
    <w:p>
      <w:pPr>
        <w:pStyle w:val="ListParagraph"/>
        <w:numPr>
          <w:ilvl w:val="0"/>
          <w:numId w:val="10"/>
        </w:numPr>
        <w:spacing w:lineRule="auto" w:line="240" w:before="0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Omówienie wizji i misji LOT oraz potencjalnych korzyści dla wszystkich stron.</w:t>
      </w:r>
    </w:p>
    <w:p>
      <w:pPr>
        <w:pStyle w:val="Normal"/>
        <w:spacing w:lineRule="auto" w:line="240" w:beforeAutospacing="1" w:afterAutospacing="1"/>
        <w:ind w:left="360" w:hanging="0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Opracowanie koncepcji działania</w:t>
      </w:r>
    </w:p>
    <w:p>
      <w:pPr>
        <w:pStyle w:val="ListParagraph"/>
        <w:numPr>
          <w:ilvl w:val="0"/>
          <w:numId w:val="11"/>
        </w:numPr>
        <w:spacing w:lineRule="auto" w:line="240" w:beforeAutospacing="1" w:after="0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Ustalenie kluczowych celów, np. promocja turystyki kulturowej, industrialnej, miejskiej czy aktywnej.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Określenie modelu współpracy między sektorem publicznym a prywatnym.</w:t>
      </w:r>
    </w:p>
    <w:p>
      <w:pPr>
        <w:pStyle w:val="ListParagraph"/>
        <w:numPr>
          <w:ilvl w:val="0"/>
          <w:numId w:val="11"/>
        </w:numPr>
        <w:spacing w:lineRule="auto" w:line="240" w:before="0" w:afterAutospacing="1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Wybór liderów i powołanie zespołu roboczego ds. formalizacji organizacji.</w:t>
      </w:r>
    </w:p>
    <w:p>
      <w:pPr>
        <w:pStyle w:val="Normal"/>
        <w:spacing w:lineRule="auto" w:line="240" w:beforeAutospacing="1" w:afterAutospacing="1"/>
        <w:ind w:left="360" w:hanging="0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Rejestracja LOT</w:t>
      </w:r>
    </w:p>
    <w:p>
      <w:pPr>
        <w:pStyle w:val="ListParagraph"/>
        <w:numPr>
          <w:ilvl w:val="0"/>
          <w:numId w:val="12"/>
        </w:numPr>
        <w:spacing w:lineRule="auto" w:line="240" w:beforeAutospacing="1" w:after="0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Przygotowanie statutu organizacji zgodnie z przepisami dotyczącymi stowarzyszeń.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Złożenie wniosku o wpis do Krajowego Rejestru Sądowego.</w:t>
      </w:r>
    </w:p>
    <w:p>
      <w:pPr>
        <w:pStyle w:val="ListParagraph"/>
        <w:numPr>
          <w:ilvl w:val="0"/>
          <w:numId w:val="12"/>
        </w:numPr>
        <w:spacing w:lineRule="auto" w:line="240" w:before="0" w:afterAutospacing="1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Pozyskanie pierwszych środków na start (dotacje, składki członkowskie, fundusze unijne).</w:t>
      </w:r>
    </w:p>
    <w:p>
      <w:pPr>
        <w:pStyle w:val="Normal"/>
        <w:spacing w:lineRule="auto" w:line="240" w:beforeAutospacing="1" w:afterAutospacing="1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Kluczowe działania LOT po utworzeniu</w:t>
      </w:r>
    </w:p>
    <w:p>
      <w:pPr>
        <w:pStyle w:val="Normal"/>
        <w:spacing w:lineRule="auto" w:line="240" w:beforeAutospacing="1" w:afterAutospacing="1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P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romocja turystyki</w:t>
      </w:r>
    </w:p>
    <w:p>
      <w:pPr>
        <w:pStyle w:val="Normal"/>
        <w:numPr>
          <w:ilvl w:val="0"/>
          <w:numId w:val="4"/>
        </w:numPr>
        <w:spacing w:lineRule="auto" w:line="240" w:beforeAutospacing="1" w:after="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Stworzenie marki turystycznej regionu</w:t>
      </w:r>
      <w:r>
        <w:rPr>
          <w:rFonts w:eastAsia="Times New Roman" w:cs="Times New Roman"/>
          <w:sz w:val="24"/>
          <w:szCs w:val="24"/>
          <w:lang w:eastAsia="pl-PL"/>
        </w:rPr>
        <w:t xml:space="preserve"> – opracowanie logo, sloganu i identyfikacji wizualnej.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Budowa profesjonalnej strony internetowej LOT</w:t>
      </w:r>
      <w:r>
        <w:rPr>
          <w:rFonts w:eastAsia="Times New Roman" w:cs="Times New Roman"/>
          <w:sz w:val="24"/>
          <w:szCs w:val="24"/>
          <w:lang w:eastAsia="pl-PL"/>
        </w:rPr>
        <w:t xml:space="preserve"> – baza atrakcji turystycznych, kalendarz wydarzeń, interaktywna mapa, propozycje tras zwiedzania.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Aktywna obecność w mediach społecznościowych</w:t>
      </w:r>
      <w:r>
        <w:rPr>
          <w:rFonts w:eastAsia="Times New Roman" w:cs="Times New Roman"/>
          <w:sz w:val="24"/>
          <w:szCs w:val="24"/>
          <w:lang w:eastAsia="pl-PL"/>
        </w:rPr>
        <w:t xml:space="preserve"> – prowadzenie Facebooka, Instagrama, YouTube, TikToka z treściami promującymi miasto.</w:t>
      </w:r>
    </w:p>
    <w:p>
      <w:pPr>
        <w:pStyle w:val="Normal"/>
        <w:numPr>
          <w:ilvl w:val="0"/>
          <w:numId w:val="4"/>
        </w:numPr>
        <w:spacing w:lineRule="auto" w:line="240" w:before="0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Organizacja kampanii promocyjnych</w:t>
      </w:r>
      <w:r>
        <w:rPr>
          <w:rFonts w:eastAsia="Times New Roman" w:cs="Times New Roman"/>
          <w:sz w:val="24"/>
          <w:szCs w:val="24"/>
          <w:lang w:eastAsia="pl-PL"/>
        </w:rPr>
        <w:t xml:space="preserve"> – hasztagi (#OdkryjZagłebie, #ZagłebieTurystyczne), konkursy, współpraca z influencerami i blogerami podróżniczymi.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Rozwój i integracja oferty turystycznej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Wyznaczenie i promocja tras turystycznych</w:t>
      </w:r>
      <w:r>
        <w:rPr>
          <w:rFonts w:eastAsia="Times New Roman" w:cs="Times New Roman"/>
          <w:sz w:val="24"/>
          <w:szCs w:val="24"/>
          <w:lang w:eastAsia="pl-PL"/>
        </w:rPr>
        <w:t xml:space="preserve"> – np.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Szlak industrialny (huty, kopalnie, zakłady przemysłowe),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Szlak wielokulturowy (historia żydowska, prawosławna, katolicka, ewangelicka),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Szlak artystyczny (murale, modernistyczna architektura).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Współpraca z przewodnikami turystycznymi</w:t>
      </w:r>
      <w:r>
        <w:rPr>
          <w:rFonts w:eastAsia="Times New Roman" w:cs="Times New Roman"/>
          <w:sz w:val="24"/>
          <w:szCs w:val="24"/>
          <w:lang w:eastAsia="pl-PL"/>
        </w:rPr>
        <w:t xml:space="preserve"> – organizacja tematycznych spacerów po regionie i miastach.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Tworzenie pakietów turystycznych</w:t>
      </w:r>
      <w:r>
        <w:rPr>
          <w:rFonts w:eastAsia="Times New Roman" w:cs="Times New Roman"/>
          <w:sz w:val="24"/>
          <w:szCs w:val="24"/>
          <w:lang w:eastAsia="pl-PL"/>
        </w:rPr>
        <w:t xml:space="preserve"> – np. weekend w Zagłębiu (zwiedzanie + lokalna gastronomia + wydarzenie kulturalne).</w:t>
      </w:r>
    </w:p>
    <w:p>
      <w:pPr>
        <w:pStyle w:val="Normal"/>
        <w:numPr>
          <w:ilvl w:val="0"/>
          <w:numId w:val="5"/>
        </w:numPr>
        <w:spacing w:lineRule="auto" w:line="240" w:before="0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Koordynacja wydarzeń turystycznych i kulturalnych</w:t>
      </w:r>
      <w:r>
        <w:rPr>
          <w:rFonts w:eastAsia="Times New Roman" w:cs="Times New Roman"/>
          <w:sz w:val="24"/>
          <w:szCs w:val="24"/>
          <w:lang w:eastAsia="pl-PL"/>
        </w:rPr>
        <w:t xml:space="preserve"> – organizacja festiwali, jarmarków, eventów historycznych.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Wsparcie dla branży turystycznej i lokalnych przedsiębiorców</w:t>
      </w:r>
    </w:p>
    <w:p>
      <w:pPr>
        <w:pStyle w:val="Normal"/>
        <w:numPr>
          <w:ilvl w:val="0"/>
          <w:numId w:val="6"/>
        </w:numPr>
        <w:spacing w:lineRule="auto" w:line="240" w:beforeAutospacing="1" w:after="0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Szkolenia i warsztaty</w:t>
      </w:r>
      <w:r>
        <w:rPr>
          <w:rFonts w:eastAsia="Times New Roman" w:cs="Times New Roman"/>
          <w:sz w:val="24"/>
          <w:szCs w:val="24"/>
          <w:lang w:eastAsia="pl-PL"/>
        </w:rPr>
        <w:t xml:space="preserve"> dla lokalnych przewodników, hotelarzy, restauratorów (np. jak wykorzystać historię regionu / miasta do promocji biznesu).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Tworzenie sieci partnerstw</w:t>
      </w:r>
      <w:r>
        <w:rPr>
          <w:rFonts w:eastAsia="Times New Roman" w:cs="Times New Roman"/>
          <w:sz w:val="24"/>
          <w:szCs w:val="24"/>
          <w:lang w:eastAsia="pl-PL"/>
        </w:rPr>
        <w:t xml:space="preserve"> – rabaty i promocje dla turystów (np. bilety łączone na atrakcje, zniżki na noclegi i restauracje dla odwiedzających).</w:t>
      </w:r>
    </w:p>
    <w:p>
      <w:pPr>
        <w:pStyle w:val="Normal"/>
        <w:numPr>
          <w:ilvl w:val="0"/>
          <w:numId w:val="6"/>
        </w:numPr>
        <w:spacing w:lineRule="auto" w:line="240" w:before="0" w:afterAutospacing="1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Aplikowanie o fundusze unijne i krajowe</w:t>
      </w:r>
      <w:r>
        <w:rPr>
          <w:rFonts w:eastAsia="Times New Roman" w:cs="Times New Roman"/>
          <w:sz w:val="24"/>
          <w:szCs w:val="24"/>
          <w:lang w:eastAsia="pl-PL"/>
        </w:rPr>
        <w:t xml:space="preserve"> na rozwój turystyki.</w:t>
      </w:r>
    </w:p>
    <w:p>
      <w:pPr>
        <w:pStyle w:val="Normal"/>
        <w:spacing w:lineRule="auto" w:line="240" w:beforeAutospacing="1" w:afterAutospacing="1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Współpraca z innymi organizacjami i instytucjami</w:t>
      </w:r>
    </w:p>
    <w:p>
      <w:pPr>
        <w:pStyle w:val="Normal"/>
        <w:numPr>
          <w:ilvl w:val="0"/>
          <w:numId w:val="7"/>
        </w:numPr>
        <w:spacing w:lineRule="auto" w:line="240" w:beforeAutospacing="1" w:after="0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Powiązanie LOT  z Śląską Organizacją Turystyczną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Współpraca z miastami i Gminami Zagłębia Dąbrowskiego</w:t>
      </w:r>
      <w:r>
        <w:rPr>
          <w:rFonts w:eastAsia="Times New Roman" w:cs="Times New Roman"/>
          <w:sz w:val="24"/>
          <w:szCs w:val="24"/>
          <w:lang w:eastAsia="pl-PL"/>
        </w:rPr>
        <w:t xml:space="preserve"> (Dąbrowa Górnicza, Będzin, Czeladź, Psary, Mierzęcice etc.) w ramach wspólnych projektów turystycznych.</w:t>
      </w:r>
    </w:p>
    <w:p>
      <w:pPr>
        <w:pStyle w:val="Normal"/>
        <w:numPr>
          <w:ilvl w:val="0"/>
          <w:numId w:val="7"/>
        </w:numPr>
        <w:spacing w:lineRule="auto" w:line="240" w:before="0" w:afterAutospacing="1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Promowanie Zagłębia Dąbrowskiego na targach turystycznych w Polsce i za granicą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both"/>
        <w:outlineLvl w:val="2"/>
        <w:rPr>
          <w:rFonts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Ewaluacja i rozwój LOT w kolejnych latach</w:t>
      </w:r>
    </w:p>
    <w:p>
      <w:pPr>
        <w:pStyle w:val="Normal"/>
        <w:numPr>
          <w:ilvl w:val="0"/>
          <w:numId w:val="8"/>
        </w:numPr>
        <w:spacing w:lineRule="auto" w:line="240" w:beforeAutospacing="1" w:after="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Monitoring efektywności działań</w:t>
      </w:r>
      <w:r>
        <w:rPr>
          <w:rFonts w:eastAsia="Times New Roman" w:cs="Times New Roman"/>
          <w:sz w:val="24"/>
          <w:szCs w:val="24"/>
          <w:lang w:eastAsia="pl-PL"/>
        </w:rPr>
        <w:t xml:space="preserve"> – analiza ruchu turystycznego, ankiety wśród turystów i mieszkańców.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Dostosowywanie strategii</w:t>
      </w:r>
      <w:r>
        <w:rPr>
          <w:rFonts w:eastAsia="Times New Roman" w:cs="Times New Roman"/>
          <w:sz w:val="24"/>
          <w:szCs w:val="24"/>
          <w:lang w:eastAsia="pl-PL"/>
        </w:rPr>
        <w:t xml:space="preserve"> do zmieniających się trendów i oczekiwań odwiedzających.</w:t>
      </w:r>
    </w:p>
    <w:p>
      <w:pPr>
        <w:pStyle w:val="Normal"/>
        <w:numPr>
          <w:ilvl w:val="0"/>
          <w:numId w:val="8"/>
        </w:numPr>
        <w:spacing w:lineRule="auto" w:line="240" w:before="0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Rozszerzanie współpracy</w:t>
      </w:r>
      <w:r>
        <w:rPr>
          <w:rFonts w:eastAsia="Times New Roman" w:cs="Times New Roman"/>
          <w:sz w:val="24"/>
          <w:szCs w:val="24"/>
          <w:lang w:eastAsia="pl-PL"/>
        </w:rPr>
        <w:t xml:space="preserve"> z nowymi partnerami biznesowymi, instytucjami kultury i organizacjami społecznymi.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Podsumowanie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Powstanie Lokalnej Organizacji Turystycznej  na terenie Zagłębia Dąbrowskiego z siedzibą w Sosnowcu mogłoby stać się ważnym krokiem w kierunku profesjonalnej promocji regionu i  miasta oraz rozwoju ich potencjału turystycznego. Kluczowe znaczenie ma tutaj współpraca między samorządami, instytucjami kultury oraz lokalnymi przedsiębiorcami.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˗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b w:val="false"/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lvl w:ilvl="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b w:val="false"/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lvl w:ilvl="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sz w:val="24"/>
        <w:b w:val="false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2">
    <w:lvl w:ilvl="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sz w:val="24"/>
        <w:b w:val="false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3">
    <w:lvl w:ilvl="0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  <w:sz w:val="24"/>
        <w:b w:val="false"/>
        <w:rFonts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rFonts w:cs="Wingdings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4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4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4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4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4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4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rFonts w:eastAsia="Times New Roman" w:cs="Times New Roman"/>
      <w:b w:val="false"/>
      <w:sz w:val="24"/>
    </w:rPr>
  </w:style>
  <w:style w:type="character" w:styleId="ListLabel67">
    <w:name w:val="ListLabel 67"/>
    <w:qFormat/>
    <w:rPr>
      <w:rFonts w:eastAsia="Times New Roman" w:cs="Times New Roman"/>
      <w:b w:val="false"/>
      <w:sz w:val="24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rFonts w:eastAsia="Times New Roman" w:cs="Times New Roman"/>
      <w:b w:val="false"/>
      <w:sz w:val="24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eastAsia="Times New Roman" w:cs="Times New Roman"/>
      <w:b w:val="false"/>
      <w:sz w:val="24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eastAsia="Times New Roman" w:cs="Times New Roman"/>
      <w:b w:val="false"/>
      <w:sz w:val="24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  <w:sz w:val="20"/>
    </w:rPr>
  </w:style>
  <w:style w:type="character" w:styleId="ListLabel82">
    <w:name w:val="ListLabel 82"/>
    <w:qFormat/>
    <w:rPr>
      <w:rFonts w:cs="Symbol"/>
      <w:sz w:val="24"/>
    </w:rPr>
  </w:style>
  <w:style w:type="character" w:styleId="ListLabel83">
    <w:name w:val="ListLabel 83"/>
    <w:qFormat/>
    <w:rPr>
      <w:rFonts w:cs="Courier New"/>
      <w:sz w:val="20"/>
    </w:rPr>
  </w:style>
  <w:style w:type="character" w:styleId="ListLabel84">
    <w:name w:val="ListLabel 84"/>
    <w:qFormat/>
    <w:rPr>
      <w:rFonts w:cs="Wingdings"/>
      <w:sz w:val="20"/>
    </w:rPr>
  </w:style>
  <w:style w:type="character" w:styleId="ListLabel85">
    <w:name w:val="ListLabel 85"/>
    <w:qFormat/>
    <w:rPr>
      <w:rFonts w:cs="Wingdings"/>
      <w:sz w:val="20"/>
    </w:rPr>
  </w:style>
  <w:style w:type="character" w:styleId="ListLabel86">
    <w:name w:val="ListLabel 86"/>
    <w:qFormat/>
    <w:rPr>
      <w:rFonts w:cs="Wingdings"/>
      <w:sz w:val="20"/>
    </w:rPr>
  </w:style>
  <w:style w:type="character" w:styleId="ListLabel87">
    <w:name w:val="ListLabel 87"/>
    <w:qFormat/>
    <w:rPr>
      <w:rFonts w:cs="Wingdings"/>
      <w:sz w:val="20"/>
    </w:rPr>
  </w:style>
  <w:style w:type="character" w:styleId="ListLabel88">
    <w:name w:val="ListLabel 88"/>
    <w:qFormat/>
    <w:rPr>
      <w:rFonts w:cs="Wingdings"/>
      <w:sz w:val="20"/>
    </w:rPr>
  </w:style>
  <w:style w:type="character" w:styleId="ListLabel89">
    <w:name w:val="ListLabel 89"/>
    <w:qFormat/>
    <w:rPr>
      <w:rFonts w:cs="Wingdings"/>
      <w:sz w:val="20"/>
    </w:rPr>
  </w:style>
  <w:style w:type="character" w:styleId="ListLabel90">
    <w:name w:val="ListLabel 90"/>
    <w:qFormat/>
    <w:rPr>
      <w:rFonts w:cs="Wingdings"/>
      <w:sz w:val="20"/>
    </w:rPr>
  </w:style>
  <w:style w:type="character" w:styleId="ListLabel91">
    <w:name w:val="ListLabel 91"/>
    <w:qFormat/>
    <w:rPr>
      <w:rFonts w:cs="Symbol"/>
      <w:sz w:val="24"/>
    </w:rPr>
  </w:style>
  <w:style w:type="character" w:styleId="ListLabel92">
    <w:name w:val="ListLabel 92"/>
    <w:qFormat/>
    <w:rPr>
      <w:rFonts w:cs="Courier New"/>
      <w:sz w:val="20"/>
    </w:rPr>
  </w:style>
  <w:style w:type="character" w:styleId="ListLabel93">
    <w:name w:val="ListLabel 93"/>
    <w:qFormat/>
    <w:rPr>
      <w:rFonts w:cs="Wingdings"/>
      <w:sz w:val="20"/>
    </w:rPr>
  </w:style>
  <w:style w:type="character" w:styleId="ListLabel94">
    <w:name w:val="ListLabel 94"/>
    <w:qFormat/>
    <w:rPr>
      <w:rFonts w:cs="Wingdings"/>
      <w:sz w:val="20"/>
    </w:rPr>
  </w:style>
  <w:style w:type="character" w:styleId="ListLabel95">
    <w:name w:val="ListLabel 95"/>
    <w:qFormat/>
    <w:rPr>
      <w:rFonts w:cs="Wingdings"/>
      <w:sz w:val="20"/>
    </w:rPr>
  </w:style>
  <w:style w:type="character" w:styleId="ListLabel96">
    <w:name w:val="ListLabel 96"/>
    <w:qFormat/>
    <w:rPr>
      <w:rFonts w:cs="Wingdings"/>
      <w:sz w:val="20"/>
    </w:rPr>
  </w:style>
  <w:style w:type="character" w:styleId="ListLabel97">
    <w:name w:val="ListLabel 97"/>
    <w:qFormat/>
    <w:rPr>
      <w:rFonts w:cs="Wingdings"/>
      <w:sz w:val="20"/>
    </w:rPr>
  </w:style>
  <w:style w:type="character" w:styleId="ListLabel98">
    <w:name w:val="ListLabel 98"/>
    <w:qFormat/>
    <w:rPr>
      <w:rFonts w:cs="Wingdings"/>
      <w:sz w:val="20"/>
    </w:rPr>
  </w:style>
  <w:style w:type="character" w:styleId="ListLabel99">
    <w:name w:val="ListLabel 99"/>
    <w:qFormat/>
    <w:rPr>
      <w:rFonts w:cs="Wingdings"/>
      <w:sz w:val="20"/>
    </w:rPr>
  </w:style>
  <w:style w:type="character" w:styleId="ListLabel100">
    <w:name w:val="ListLabel 100"/>
    <w:qFormat/>
    <w:rPr>
      <w:rFonts w:cs="Symbol"/>
      <w:sz w:val="24"/>
    </w:rPr>
  </w:style>
  <w:style w:type="character" w:styleId="ListLabel101">
    <w:name w:val="ListLabel 101"/>
    <w:qFormat/>
    <w:rPr>
      <w:rFonts w:cs="Courier New"/>
      <w:sz w:val="20"/>
    </w:rPr>
  </w:style>
  <w:style w:type="character" w:styleId="ListLabel102">
    <w:name w:val="ListLabel 102"/>
    <w:qFormat/>
    <w:rPr>
      <w:rFonts w:cs="Wingdings"/>
      <w:sz w:val="20"/>
    </w:rPr>
  </w:style>
  <w:style w:type="character" w:styleId="ListLabel103">
    <w:name w:val="ListLabel 103"/>
    <w:qFormat/>
    <w:rPr>
      <w:rFonts w:cs="Wingdings"/>
      <w:sz w:val="20"/>
    </w:rPr>
  </w:style>
  <w:style w:type="character" w:styleId="ListLabel104">
    <w:name w:val="ListLabel 104"/>
    <w:qFormat/>
    <w:rPr>
      <w:rFonts w:cs="Wingdings"/>
      <w:sz w:val="20"/>
    </w:rPr>
  </w:style>
  <w:style w:type="character" w:styleId="ListLabel105">
    <w:name w:val="ListLabel 105"/>
    <w:qFormat/>
    <w:rPr>
      <w:rFonts w:cs="Wingdings"/>
      <w:sz w:val="20"/>
    </w:rPr>
  </w:style>
  <w:style w:type="character" w:styleId="ListLabel106">
    <w:name w:val="ListLabel 106"/>
    <w:qFormat/>
    <w:rPr>
      <w:rFonts w:cs="Wingdings"/>
      <w:sz w:val="20"/>
    </w:rPr>
  </w:style>
  <w:style w:type="character" w:styleId="ListLabel107">
    <w:name w:val="ListLabel 107"/>
    <w:qFormat/>
    <w:rPr>
      <w:rFonts w:cs="Wingdings"/>
      <w:sz w:val="20"/>
    </w:rPr>
  </w:style>
  <w:style w:type="character" w:styleId="ListLabel108">
    <w:name w:val="ListLabel 108"/>
    <w:qFormat/>
    <w:rPr>
      <w:rFonts w:cs="Wingdings"/>
      <w:sz w:val="20"/>
    </w:rPr>
  </w:style>
  <w:style w:type="character" w:styleId="ListLabel109">
    <w:name w:val="ListLabel 109"/>
    <w:qFormat/>
    <w:rPr>
      <w:rFonts w:cs="Symbol"/>
      <w:sz w:val="24"/>
    </w:rPr>
  </w:style>
  <w:style w:type="character" w:styleId="ListLabel110">
    <w:name w:val="ListLabel 110"/>
    <w:qFormat/>
    <w:rPr>
      <w:rFonts w:cs="Courier New"/>
      <w:sz w:val="20"/>
    </w:rPr>
  </w:style>
  <w:style w:type="character" w:styleId="ListLabel111">
    <w:name w:val="ListLabel 111"/>
    <w:qFormat/>
    <w:rPr>
      <w:rFonts w:cs="Wingdings"/>
      <w:sz w:val="20"/>
    </w:rPr>
  </w:style>
  <w:style w:type="character" w:styleId="ListLabel112">
    <w:name w:val="ListLabel 112"/>
    <w:qFormat/>
    <w:rPr>
      <w:rFonts w:cs="Wingdings"/>
      <w:sz w:val="20"/>
    </w:rPr>
  </w:style>
  <w:style w:type="character" w:styleId="ListLabel113">
    <w:name w:val="ListLabel 113"/>
    <w:qFormat/>
    <w:rPr>
      <w:rFonts w:cs="Wingdings"/>
      <w:sz w:val="20"/>
    </w:rPr>
  </w:style>
  <w:style w:type="character" w:styleId="ListLabel114">
    <w:name w:val="ListLabel 114"/>
    <w:qFormat/>
    <w:rPr>
      <w:rFonts w:cs="Wingdings"/>
      <w:sz w:val="20"/>
    </w:rPr>
  </w:style>
  <w:style w:type="character" w:styleId="ListLabel115">
    <w:name w:val="ListLabel 115"/>
    <w:qFormat/>
    <w:rPr>
      <w:rFonts w:cs="Wingdings"/>
      <w:sz w:val="20"/>
    </w:rPr>
  </w:style>
  <w:style w:type="character" w:styleId="ListLabel116">
    <w:name w:val="ListLabel 116"/>
    <w:qFormat/>
    <w:rPr>
      <w:rFonts w:cs="Wingdings"/>
      <w:sz w:val="20"/>
    </w:rPr>
  </w:style>
  <w:style w:type="character" w:styleId="ListLabel117">
    <w:name w:val="ListLabel 117"/>
    <w:qFormat/>
    <w:rPr>
      <w:rFonts w:cs="Wingdings"/>
      <w:sz w:val="20"/>
    </w:rPr>
  </w:style>
  <w:style w:type="character" w:styleId="ListLabel118">
    <w:name w:val="ListLabel 118"/>
    <w:qFormat/>
    <w:rPr>
      <w:rFonts w:cs="Symbol"/>
      <w:sz w:val="24"/>
    </w:rPr>
  </w:style>
  <w:style w:type="character" w:styleId="ListLabel119">
    <w:name w:val="ListLabel 119"/>
    <w:qFormat/>
    <w:rPr>
      <w:rFonts w:cs="Courier New"/>
      <w:sz w:val="20"/>
    </w:rPr>
  </w:style>
  <w:style w:type="character" w:styleId="ListLabel120">
    <w:name w:val="ListLabel 120"/>
    <w:qFormat/>
    <w:rPr>
      <w:rFonts w:cs="Wingdings"/>
      <w:sz w:val="20"/>
    </w:rPr>
  </w:style>
  <w:style w:type="character" w:styleId="ListLabel121">
    <w:name w:val="ListLabel 121"/>
    <w:qFormat/>
    <w:rPr>
      <w:rFonts w:cs="Wingdings"/>
      <w:sz w:val="20"/>
    </w:rPr>
  </w:style>
  <w:style w:type="character" w:styleId="ListLabel122">
    <w:name w:val="ListLabel 122"/>
    <w:qFormat/>
    <w:rPr>
      <w:rFonts w:cs="Wingdings"/>
      <w:sz w:val="20"/>
    </w:rPr>
  </w:style>
  <w:style w:type="character" w:styleId="ListLabel123">
    <w:name w:val="ListLabel 123"/>
    <w:qFormat/>
    <w:rPr>
      <w:rFonts w:cs="Wingdings"/>
      <w:sz w:val="20"/>
    </w:rPr>
  </w:style>
  <w:style w:type="character" w:styleId="ListLabel124">
    <w:name w:val="ListLabel 124"/>
    <w:qFormat/>
    <w:rPr>
      <w:rFonts w:cs="Wingdings"/>
      <w:sz w:val="20"/>
    </w:rPr>
  </w:style>
  <w:style w:type="character" w:styleId="ListLabel125">
    <w:name w:val="ListLabel 125"/>
    <w:qFormat/>
    <w:rPr>
      <w:rFonts w:cs="Wingdings"/>
      <w:sz w:val="20"/>
    </w:rPr>
  </w:style>
  <w:style w:type="character" w:styleId="ListLabel126">
    <w:name w:val="ListLabel 126"/>
    <w:qFormat/>
    <w:rPr>
      <w:rFonts w:cs="Wingdings"/>
      <w:sz w:val="20"/>
    </w:rPr>
  </w:style>
  <w:style w:type="character" w:styleId="ListLabel127">
    <w:name w:val="ListLabel 127"/>
    <w:qFormat/>
    <w:rPr>
      <w:rFonts w:cs="Symbol"/>
      <w:sz w:val="24"/>
    </w:rPr>
  </w:style>
  <w:style w:type="character" w:styleId="ListLabel128">
    <w:name w:val="ListLabel 128"/>
    <w:qFormat/>
    <w:rPr>
      <w:rFonts w:cs="Courier New"/>
      <w:sz w:val="20"/>
    </w:rPr>
  </w:style>
  <w:style w:type="character" w:styleId="ListLabel129">
    <w:name w:val="ListLabel 129"/>
    <w:qFormat/>
    <w:rPr>
      <w:rFonts w:cs="Wingdings"/>
      <w:sz w:val="20"/>
    </w:rPr>
  </w:style>
  <w:style w:type="character" w:styleId="ListLabel130">
    <w:name w:val="ListLabel 130"/>
    <w:qFormat/>
    <w:rPr>
      <w:rFonts w:cs="Wingdings"/>
      <w:sz w:val="20"/>
    </w:rPr>
  </w:style>
  <w:style w:type="character" w:styleId="ListLabel131">
    <w:name w:val="ListLabel 131"/>
    <w:qFormat/>
    <w:rPr>
      <w:rFonts w:cs="Wingdings"/>
      <w:sz w:val="20"/>
    </w:rPr>
  </w:style>
  <w:style w:type="character" w:styleId="ListLabel132">
    <w:name w:val="ListLabel 132"/>
    <w:qFormat/>
    <w:rPr>
      <w:rFonts w:cs="Wingdings"/>
      <w:sz w:val="20"/>
    </w:rPr>
  </w:style>
  <w:style w:type="character" w:styleId="ListLabel133">
    <w:name w:val="ListLabel 133"/>
    <w:qFormat/>
    <w:rPr>
      <w:rFonts w:cs="Wingdings"/>
      <w:sz w:val="20"/>
    </w:rPr>
  </w:style>
  <w:style w:type="character" w:styleId="ListLabel134">
    <w:name w:val="ListLabel 134"/>
    <w:qFormat/>
    <w:rPr>
      <w:rFonts w:cs="Wingdings"/>
      <w:sz w:val="20"/>
    </w:rPr>
  </w:style>
  <w:style w:type="character" w:styleId="ListLabel135">
    <w:name w:val="ListLabel 135"/>
    <w:qFormat/>
    <w:rPr>
      <w:rFonts w:cs="Wingdings"/>
      <w:sz w:val="20"/>
    </w:rPr>
  </w:style>
  <w:style w:type="character" w:styleId="ListLabel136">
    <w:name w:val="ListLabel 136"/>
    <w:qFormat/>
    <w:rPr>
      <w:rFonts w:cs="Times New Roman"/>
      <w:b w:val="false"/>
      <w:sz w:val="24"/>
    </w:rPr>
  </w:style>
  <w:style w:type="character" w:styleId="ListLabel137">
    <w:name w:val="ListLabel 137"/>
    <w:qFormat/>
    <w:rPr>
      <w:rFonts w:cs="Times New Roman"/>
      <w:b w:val="false"/>
      <w:sz w:val="24"/>
    </w:rPr>
  </w:style>
  <w:style w:type="character" w:styleId="ListLabel138">
    <w:name w:val="ListLabel 138"/>
    <w:qFormat/>
    <w:rPr>
      <w:rFonts w:cs="Courier New"/>
      <w:sz w:val="20"/>
    </w:rPr>
  </w:style>
  <w:style w:type="character" w:styleId="ListLabel139">
    <w:name w:val="ListLabel 139"/>
    <w:qFormat/>
    <w:rPr>
      <w:rFonts w:cs="Times New Roman"/>
      <w:b w:val="false"/>
      <w:sz w:val="24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cs="Symbol"/>
    </w:rPr>
  </w:style>
  <w:style w:type="character" w:styleId="ListLabel146">
    <w:name w:val="ListLabel 146"/>
    <w:qFormat/>
    <w:rPr>
      <w:rFonts w:cs="Courier New"/>
    </w:rPr>
  </w:style>
  <w:style w:type="character" w:styleId="ListLabel147">
    <w:name w:val="ListLabel 147"/>
    <w:qFormat/>
    <w:rPr>
      <w:rFonts w:cs="Wingdings"/>
    </w:rPr>
  </w:style>
  <w:style w:type="character" w:styleId="ListLabel148">
    <w:name w:val="ListLabel 148"/>
    <w:qFormat/>
    <w:rPr>
      <w:rFonts w:cs="Times New Roman"/>
      <w:b w:val="false"/>
      <w:sz w:val="24"/>
    </w:rPr>
  </w:style>
  <w:style w:type="character" w:styleId="ListLabel149">
    <w:name w:val="ListLabel 149"/>
    <w:qFormat/>
    <w:rPr>
      <w:rFonts w:cs="Courier New"/>
    </w:rPr>
  </w:style>
  <w:style w:type="character" w:styleId="ListLabel150">
    <w:name w:val="ListLabel 150"/>
    <w:qFormat/>
    <w:rPr>
      <w:rFonts w:cs="Wingdings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Wingdings"/>
    </w:rPr>
  </w:style>
  <w:style w:type="character" w:styleId="ListLabel154">
    <w:name w:val="ListLabel 154"/>
    <w:qFormat/>
    <w:rPr>
      <w:rFonts w:cs="Symbol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Times New Roman"/>
      <w:b w:val="false"/>
      <w:sz w:val="24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54a3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LibreOffice/5.4.1.2$Windows_x86 LibreOffice_project/ea7cb86e6eeb2bf3a5af73a8f7777ac570321527</Application>
  <Pages>4</Pages>
  <Words>949</Words>
  <Characters>6799</Characters>
  <CharactersWithSpaces>7657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2025-02-04T09:41:00Z</dcterms:created>
  <dc:creator>Dobrawa</dc:creator>
  <dc:description/>
  <dc:language>pl-PL</dc:language>
  <cp:lastModifiedBy/>
  <dcterms:modified xsi:type="dcterms:W3CDTF">2025-02-07T10:06:22Z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