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b/>
          <w:b/>
          <w:sz w:val="28"/>
        </w:rPr>
      </w:pPr>
      <w:r>
        <w:rPr>
          <w:b/>
          <w:sz w:val="28"/>
        </w:rPr>
        <w:t>Komisja Budżetowa</w:t>
      </w:r>
    </w:p>
    <w:p>
      <w:pPr>
        <w:pStyle w:val="Normal"/>
        <w:spacing w:lineRule="auto" w:line="360" w:before="0" w:after="0"/>
        <w:jc w:val="center"/>
        <w:rPr>
          <w:b/>
          <w:b/>
          <w:sz w:val="28"/>
        </w:rPr>
      </w:pPr>
      <w:r>
        <w:rPr>
          <w:b/>
          <w:sz w:val="28"/>
        </w:rPr>
        <w:t>- Wykonanie budżetu za 2024 rok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  <w:b/>
          <w:bCs/>
        </w:rPr>
        <w:t>Dochody ogółem</w:t>
      </w:r>
      <w:r>
        <w:rPr>
          <w:rFonts w:cs="Times New Roman"/>
        </w:rPr>
        <w:t xml:space="preserve"> pierwotnie zaplanowano w wysokości 1 318 027 006,20 zł. W ciągu roku dokonywano zmian w planie finansowym, w konsekwencji zwiększając dochody do poziomu 1 564 318 692,51 zł. Realizacja dochodów ogółem na dzień 31.12.2024 r. ukształtowała się</w:t>
        <w:br/>
        <w:t>na poziomie 100,6 % planu rocznego, dając kwotę blisko 1 574 mln zł. W ramach zrealizowanej kwoty dochody bieżące wyniosły 1 436,8  mln zł, a dochody majątkowe prawie 136,8 mln zł.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Najważniejsze źródła dochodów to: udział w podatku dochodowym (426 745 694,00 zł), subwencja ogólna (405 688 392,00 zł), podatek od nieruchomości (202 270 656,84 zł).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cs="Times New Roman"/>
          <w:color w:val="FF0000"/>
        </w:rPr>
      </w:pPr>
      <w:r>
        <w:rPr>
          <w:rFonts w:cs="Times New Roman"/>
        </w:rPr>
        <w:tab/>
        <w:t xml:space="preserve">Planowane na 2024 r. </w:t>
      </w:r>
      <w:r>
        <w:rPr>
          <w:rFonts w:cs="Times New Roman"/>
          <w:b/>
          <w:bCs/>
        </w:rPr>
        <w:t>wydatki ogółem</w:t>
      </w:r>
      <w:r>
        <w:rPr>
          <w:rFonts w:cs="Times New Roman"/>
        </w:rPr>
        <w:t xml:space="preserve"> w wysokości 1 682 483 653,50 zł, zrealizowano </w:t>
        <w:br/>
        <w:t xml:space="preserve">w kwocie 1 614 439 953,04 zł, co stanowi 96,0 % przyjętego planu rocznego. Wydatki bieżące stanowiły kwotę ponad 1 385 mln zł, natomiast wydatki majątkowe to kwota ponad </w:t>
        <w:br/>
        <w:t>229 mln zł, z czego inwestycje jednoroczne 68,6 mln zł, a 160,7 ml zł przedsięwzięcia wieloletnie.</w:t>
      </w:r>
    </w:p>
    <w:p>
      <w:pPr>
        <w:pStyle w:val="Normal"/>
        <w:tabs>
          <w:tab w:val="left" w:pos="284" w:leader="none"/>
        </w:tabs>
        <w:spacing w:lineRule="atLeast" w:line="360" w:before="0" w:after="12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Przychody budżetu</w:t>
      </w:r>
      <w:r>
        <w:rPr>
          <w:rFonts w:cs="Times New Roman"/>
        </w:rPr>
        <w:t xml:space="preserve"> miasta zaplanowano w kwocie 127 mln zł. Realizacja przychodów </w:t>
        <w:br/>
        <w:t>w 2024 roku wyniosła 99,9 % planu, tj. 126 919 092,11 zł, na którą składają się m.in.: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tLeast" w:line="360" w:before="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kredyt długoterminowy – 20 000 000,00 zł,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tLeast" w:line="360" w:before="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pożyczka długoterminowa wspierająca zieloną transformację miast – 38 696 803,76 zł,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tLeast" w:line="360" w:before="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emisja obligacji – 60 000 000,00 zł,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tLeast" w:line="360" w:before="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niewykorzystane środki pieniężne na rachunku bieżącym budżetu, wynikające z rozliczenia dochodów i wydatków nimi finansowanych związanych ze szczególnymi zasadami wykonywania budżetu określonymi w odrębnych ustawach oraz niewykorzystane środki pieniężne na rachunku bieżącym budżetu wynikające z rozliczenia środków pochodzących z Unii Europejskiej i dotacji na realizację programu, projektu lub zadania finansowanego </w:t>
        <w:br/>
        <w:t>z udziałem tych środków  – 8 220 543,91 zł,</w:t>
      </w:r>
    </w:p>
    <w:p>
      <w:pPr>
        <w:pStyle w:val="Normal"/>
        <w:tabs>
          <w:tab w:val="left" w:pos="284" w:leader="none"/>
        </w:tabs>
        <w:spacing w:lineRule="auto" w:line="12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  <w:b/>
          <w:bCs/>
        </w:rPr>
        <w:tab/>
        <w:t>Rozchody</w:t>
      </w:r>
      <w:r>
        <w:rPr>
          <w:rFonts w:cs="Times New Roman"/>
        </w:rPr>
        <w:t xml:space="preserve"> zaplanowano w kwocie 8 852 386,68 zł. Na dzień 31.12.2024 r. realizacja rozchodów stanowiła 90,7 % przyjętego planu po zmianach. Na wykonane rozchody składają się: spłaty rat krajowych pożyczek długoterminowych (1 643 mln zł) oraz spłaty kredytu EBI </w:t>
        <w:br/>
        <w:t>(6 389 mln zł).</w:t>
      </w:r>
    </w:p>
    <w:p>
      <w:pPr>
        <w:pStyle w:val="Normal"/>
        <w:spacing w:lineRule="auto" w:line="360" w:before="0" w:after="200"/>
        <w:ind w:firstLine="284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8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712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71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ed5186"/>
    <w:pPr>
      <w:widowControl/>
      <w:bidi w:val="0"/>
      <w:spacing w:lineRule="auto" w:line="240" w:before="0" w:after="0"/>
      <w:jc w:val="left"/>
    </w:pPr>
    <w:rPr>
      <w:rFonts w:cs="Times New Roman" w:ascii="Times New Roman" w:hAnsi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f7727c"/>
    <w:pPr>
      <w:spacing w:lineRule="auto" w:line="276" w:before="0" w:after="160"/>
      <w:ind w:left="720" w:hanging="0"/>
      <w:contextualSpacing/>
    </w:pPr>
    <w:rPr>
      <w:rFonts w:ascii="Calibri" w:hAnsi="Calibri" w:asciiTheme="minorHAnsi" w:hAnsiTheme="minorHAnsi"/>
      <w:kern w:val="2"/>
      <w:sz w:val="24"/>
      <w:szCs w:val="24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C644-80B9-452E-BB39-992CDB84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 LibreOffice_project/ea7cb86e6eeb2bf3a5af73a8f7777ac570321527</Application>
  <Pages>1</Pages>
  <Words>317</Words>
  <Characters>1758</Characters>
  <CharactersWithSpaces>2074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2024-05-20T13:20:00Z</dcterms:created>
  <dc:creator>BASIA</dc:creator>
  <dc:description/>
  <dc:language>pl-PL</dc:language>
  <cp:lastModifiedBy>Anna Chmura</cp:lastModifiedBy>
  <cp:lastPrinted>2024-04-23T08:10:00Z</cp:lastPrinted>
  <dcterms:modified xsi:type="dcterms:W3CDTF">2025-04-04T08:38:00Z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