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5" w:rsidRDefault="00A84435" w:rsidP="00060ADD">
      <w:pPr>
        <w:pStyle w:val="Spistreci1"/>
      </w:pPr>
    </w:p>
    <w:p w:rsidR="00AD0DAE" w:rsidRDefault="00AD0DAE" w:rsidP="00AD0DAE">
      <w:pPr>
        <w:rPr>
          <w:lang w:eastAsia="pl-PL"/>
        </w:rPr>
      </w:pPr>
    </w:p>
    <w:p w:rsidR="00AD0DAE" w:rsidRDefault="00AD0DAE" w:rsidP="00AD0DAE">
      <w:pPr>
        <w:rPr>
          <w:lang w:eastAsia="pl-PL"/>
        </w:rPr>
      </w:pPr>
    </w:p>
    <w:p w:rsidR="00AD0DAE" w:rsidRPr="00AD0DAE" w:rsidRDefault="00AD0DAE" w:rsidP="00AD0DAE">
      <w:pPr>
        <w:rPr>
          <w:lang w:eastAsia="pl-PL"/>
        </w:rPr>
      </w:pPr>
    </w:p>
    <w:p w:rsidR="0011347C" w:rsidRPr="0011347C" w:rsidRDefault="00AD0DAE" w:rsidP="0011347C">
      <w:pPr>
        <w:jc w:val="both"/>
        <w:rPr>
          <w:lang w:eastAsia="pl-PL"/>
        </w:rPr>
      </w:pPr>
      <w:r w:rsidRPr="00AD0DAE">
        <w:rPr>
          <w:lang w:eastAsia="pl-PL"/>
        </w:rPr>
        <w:t xml:space="preserve">W niniejszym opracowaniu przedstawiono informacje </w:t>
      </w:r>
      <w:r w:rsidR="0011347C">
        <w:rPr>
          <w:lang w:eastAsia="pl-PL"/>
        </w:rPr>
        <w:t xml:space="preserve">wynikające z realizacji statutowych celów </w:t>
      </w:r>
      <w:r w:rsidR="0011347C" w:rsidRPr="0011347C">
        <w:rPr>
          <w:lang w:eastAsia="pl-PL"/>
        </w:rPr>
        <w:t>Miejskiego Zakładu Zasobów Lokalowych</w:t>
      </w:r>
      <w:r w:rsidR="00D34E40">
        <w:rPr>
          <w:lang w:eastAsia="pl-PL"/>
        </w:rPr>
        <w:t xml:space="preserve"> w Sosnowcu</w:t>
      </w:r>
      <w:r w:rsidR="0011347C">
        <w:rPr>
          <w:lang w:eastAsia="pl-PL"/>
        </w:rPr>
        <w:t>, którymi są</w:t>
      </w:r>
      <w:r w:rsidR="0011347C" w:rsidRPr="0011347C">
        <w:rPr>
          <w:lang w:eastAsia="pl-PL"/>
        </w:rPr>
        <w:t>:</w:t>
      </w:r>
    </w:p>
    <w:p w:rsidR="0011347C" w:rsidRPr="0011347C" w:rsidRDefault="0011347C" w:rsidP="00FD4535">
      <w:pPr>
        <w:numPr>
          <w:ilvl w:val="0"/>
          <w:numId w:val="7"/>
        </w:numPr>
        <w:ind w:left="567" w:hanging="425"/>
        <w:jc w:val="both"/>
        <w:rPr>
          <w:lang w:eastAsia="pl-PL"/>
        </w:rPr>
      </w:pPr>
      <w:proofErr w:type="gramStart"/>
      <w:r w:rsidRPr="0011347C">
        <w:rPr>
          <w:lang w:eastAsia="pl-PL"/>
        </w:rPr>
        <w:t>zarządzanie</w:t>
      </w:r>
      <w:proofErr w:type="gramEnd"/>
      <w:r w:rsidRPr="0011347C">
        <w:rPr>
          <w:lang w:eastAsia="pl-PL"/>
        </w:rPr>
        <w:t xml:space="preserve"> i administrowanie lokalowym zasobem stanowiącym własność oraz pozostającym, w użytkowaniu Gminy Sosnowiec,</w:t>
      </w:r>
    </w:p>
    <w:p w:rsidR="0011347C" w:rsidRPr="0011347C" w:rsidRDefault="0011347C" w:rsidP="00FD4535">
      <w:pPr>
        <w:numPr>
          <w:ilvl w:val="0"/>
          <w:numId w:val="7"/>
        </w:numPr>
        <w:ind w:left="567" w:hanging="425"/>
        <w:jc w:val="both"/>
        <w:rPr>
          <w:lang w:eastAsia="pl-PL"/>
        </w:rPr>
      </w:pPr>
      <w:proofErr w:type="gramStart"/>
      <w:r w:rsidRPr="0011347C">
        <w:rPr>
          <w:lang w:eastAsia="pl-PL"/>
        </w:rPr>
        <w:t>prowadzenie</w:t>
      </w:r>
      <w:proofErr w:type="gramEnd"/>
      <w:r w:rsidRPr="0011347C">
        <w:rPr>
          <w:lang w:eastAsia="pl-PL"/>
        </w:rPr>
        <w:t xml:space="preserve"> administracji zleconej, a w szczególności kompleksowej obsługi wspólnot mieszkaniowych z udziałem Gminy Sosnowiec,</w:t>
      </w:r>
    </w:p>
    <w:p w:rsidR="00052AE4" w:rsidRDefault="0011347C" w:rsidP="00FD4535">
      <w:pPr>
        <w:numPr>
          <w:ilvl w:val="0"/>
          <w:numId w:val="7"/>
        </w:numPr>
        <w:ind w:left="567" w:hanging="425"/>
        <w:jc w:val="both"/>
        <w:rPr>
          <w:lang w:eastAsia="pl-PL"/>
        </w:rPr>
      </w:pPr>
      <w:proofErr w:type="gramStart"/>
      <w:r w:rsidRPr="0011347C">
        <w:rPr>
          <w:lang w:eastAsia="pl-PL"/>
        </w:rPr>
        <w:t>przeprowadzanie</w:t>
      </w:r>
      <w:proofErr w:type="gramEnd"/>
      <w:r w:rsidRPr="0011347C">
        <w:rPr>
          <w:lang w:eastAsia="pl-PL"/>
        </w:rPr>
        <w:t xml:space="preserve"> inwestycji, remontów budynków, lokali mieszkalnych i niemieszkalnych oraz infrastruktury związanej z nieruchomościami,</w:t>
      </w:r>
    </w:p>
    <w:p w:rsidR="0011347C" w:rsidRDefault="0011347C" w:rsidP="00FD4535">
      <w:pPr>
        <w:numPr>
          <w:ilvl w:val="0"/>
          <w:numId w:val="7"/>
        </w:numPr>
        <w:ind w:left="567" w:hanging="425"/>
        <w:jc w:val="both"/>
        <w:rPr>
          <w:lang w:eastAsia="pl-PL"/>
        </w:rPr>
      </w:pPr>
      <w:proofErr w:type="gramStart"/>
      <w:r w:rsidRPr="0011347C">
        <w:rPr>
          <w:lang w:eastAsia="pl-PL"/>
        </w:rPr>
        <w:t>wykonywanie</w:t>
      </w:r>
      <w:proofErr w:type="gramEnd"/>
      <w:r w:rsidRPr="0011347C">
        <w:rPr>
          <w:lang w:eastAsia="pl-PL"/>
        </w:rPr>
        <w:t xml:space="preserve"> innych zadań zleconych przez Gminę Sosnowiec</w:t>
      </w:r>
    </w:p>
    <w:p w:rsidR="00052AE4" w:rsidRDefault="00052AE4" w:rsidP="00AD0DAE">
      <w:pPr>
        <w:jc w:val="both"/>
        <w:rPr>
          <w:lang w:eastAsia="pl-PL"/>
        </w:rPr>
      </w:pPr>
    </w:p>
    <w:p w:rsidR="00AD0DAE" w:rsidRPr="00AD0DAE" w:rsidRDefault="00052AE4" w:rsidP="00AD0DAE">
      <w:pPr>
        <w:jc w:val="both"/>
        <w:rPr>
          <w:lang w:eastAsia="pl-PL"/>
        </w:rPr>
      </w:pPr>
      <w:r>
        <w:rPr>
          <w:lang w:eastAsia="pl-PL"/>
        </w:rPr>
        <w:t xml:space="preserve">W dokumencie zawarto informacje </w:t>
      </w:r>
      <w:r w:rsidR="00AD0DAE" w:rsidRPr="00AD0DAE">
        <w:rPr>
          <w:lang w:eastAsia="pl-PL"/>
        </w:rPr>
        <w:t>dotyczące zasobów zarządzanych przez MZZL</w:t>
      </w:r>
      <w:r w:rsidR="00AD0DAE">
        <w:rPr>
          <w:lang w:eastAsia="pl-PL"/>
        </w:rPr>
        <w:t xml:space="preserve"> i </w:t>
      </w:r>
      <w:r w:rsidR="00AD0DAE" w:rsidRPr="00AD0DAE">
        <w:rPr>
          <w:lang w:eastAsia="pl-PL"/>
        </w:rPr>
        <w:t>kosztach związanych z</w:t>
      </w:r>
      <w:r>
        <w:rPr>
          <w:lang w:eastAsia="pl-PL"/>
        </w:rPr>
        <w:t> </w:t>
      </w:r>
      <w:r w:rsidR="00AD0DAE" w:rsidRPr="00AD0DAE">
        <w:rPr>
          <w:lang w:eastAsia="pl-PL"/>
        </w:rPr>
        <w:t>prowadzeniem remontów budynków, lokali mieszkalnych i niemieszkalnych oraz infrastruktury związanej z</w:t>
      </w:r>
      <w:r w:rsidR="00D34E40">
        <w:rPr>
          <w:lang w:eastAsia="pl-PL"/>
        </w:rPr>
        <w:t> </w:t>
      </w:r>
      <w:r w:rsidR="00AD0DAE" w:rsidRPr="00AD0DAE">
        <w:rPr>
          <w:lang w:eastAsia="pl-PL"/>
        </w:rPr>
        <w:t>nieruchomościami. Zawarto w nim informacje dotyczące wysokości zadłużenia i</w:t>
      </w:r>
      <w:r w:rsidR="00AD0DAE">
        <w:rPr>
          <w:lang w:eastAsia="pl-PL"/>
        </w:rPr>
        <w:t> </w:t>
      </w:r>
      <w:r w:rsidR="00AD0DAE" w:rsidRPr="00AD0DAE">
        <w:rPr>
          <w:lang w:eastAsia="pl-PL"/>
        </w:rPr>
        <w:t>działań podjętych w celu jego zmniejszenia oraz o efektach</w:t>
      </w:r>
      <w:r w:rsidR="00A6020A">
        <w:rPr>
          <w:lang w:eastAsia="pl-PL"/>
        </w:rPr>
        <w:t>,</w:t>
      </w:r>
      <w:r w:rsidR="00AD0DAE" w:rsidRPr="00AD0DAE">
        <w:rPr>
          <w:lang w:eastAsia="pl-PL"/>
        </w:rPr>
        <w:t xml:space="preserve"> jakie te działania </w:t>
      </w:r>
      <w:r w:rsidR="00AD0DAE">
        <w:rPr>
          <w:lang w:eastAsia="pl-PL"/>
        </w:rPr>
        <w:t>przyniosły</w:t>
      </w:r>
      <w:r w:rsidR="00AD0DAE" w:rsidRPr="00AD0DAE">
        <w:rPr>
          <w:lang w:eastAsia="pl-PL"/>
        </w:rPr>
        <w:t xml:space="preserve"> na przestrzeni lat.</w:t>
      </w:r>
      <w:r w:rsidR="00D34E40">
        <w:rPr>
          <w:lang w:eastAsia="pl-PL"/>
        </w:rPr>
        <w:t xml:space="preserve"> Przedstawiono dane o ilości eksmisji i </w:t>
      </w:r>
      <w:r w:rsidR="00D72C63">
        <w:rPr>
          <w:lang w:eastAsia="pl-PL"/>
        </w:rPr>
        <w:t>działa</w:t>
      </w:r>
      <w:r w:rsidR="00A6020A">
        <w:rPr>
          <w:lang w:eastAsia="pl-PL"/>
        </w:rPr>
        <w:t>niach</w:t>
      </w:r>
      <w:r w:rsidR="00D72C63">
        <w:rPr>
          <w:lang w:eastAsia="pl-PL"/>
        </w:rPr>
        <w:t xml:space="preserve"> mediacyjnych</w:t>
      </w:r>
      <w:r w:rsidR="00A6020A">
        <w:rPr>
          <w:lang w:eastAsia="pl-PL"/>
        </w:rPr>
        <w:t xml:space="preserve"> prowadzonych z dłużnikami na etapie</w:t>
      </w:r>
      <w:r w:rsidR="00A6020A" w:rsidRPr="00A6020A">
        <w:rPr>
          <w:lang w:eastAsia="pl-PL"/>
        </w:rPr>
        <w:t xml:space="preserve"> windykacji przedsądowej</w:t>
      </w:r>
      <w:r w:rsidR="00D72C63">
        <w:rPr>
          <w:lang w:eastAsia="pl-PL"/>
        </w:rPr>
        <w:t>.</w:t>
      </w:r>
    </w:p>
    <w:p w:rsidR="00A56DCD" w:rsidRDefault="00A56DCD" w:rsidP="00A56DCD">
      <w:pPr>
        <w:rPr>
          <w:lang w:eastAsia="pl-PL"/>
        </w:rPr>
      </w:pPr>
    </w:p>
    <w:p w:rsidR="00A56DCD" w:rsidRDefault="00A56DCD" w:rsidP="00A56DCD">
      <w:pPr>
        <w:rPr>
          <w:lang w:eastAsia="pl-PL"/>
        </w:rPr>
      </w:pPr>
    </w:p>
    <w:p w:rsidR="00D72C63" w:rsidRDefault="00D72C63" w:rsidP="00A56DCD">
      <w:pPr>
        <w:rPr>
          <w:lang w:eastAsia="pl-PL"/>
        </w:rPr>
      </w:pPr>
    </w:p>
    <w:p w:rsidR="00D72C63" w:rsidRPr="00A56DCD" w:rsidRDefault="00D72C63" w:rsidP="00A56DCD">
      <w:pPr>
        <w:rPr>
          <w:lang w:eastAsia="pl-PL"/>
        </w:rPr>
      </w:pPr>
    </w:p>
    <w:p w:rsidR="00A84435" w:rsidRPr="00A84435" w:rsidRDefault="00A84435" w:rsidP="00336CF0">
      <w:pPr>
        <w:rPr>
          <w:b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66569740"/>
        <w:docPartObj>
          <w:docPartGallery w:val="Table of Contents"/>
          <w:docPartUnique/>
        </w:docPartObj>
      </w:sdtPr>
      <w:sdtContent>
        <w:p w:rsidR="00336CF0" w:rsidRPr="00F92641" w:rsidRDefault="00336CF0" w:rsidP="006F74DF">
          <w:pPr>
            <w:pStyle w:val="Nagwekspisutreci"/>
            <w:spacing w:after="360"/>
            <w:rPr>
              <w:rFonts w:asciiTheme="minorHAnsi" w:hAnsiTheme="minorHAnsi"/>
              <w:color w:val="auto"/>
            </w:rPr>
          </w:pPr>
          <w:r w:rsidRPr="00F92641">
            <w:rPr>
              <w:rFonts w:asciiTheme="minorHAnsi" w:hAnsiTheme="minorHAnsi"/>
              <w:color w:val="auto"/>
            </w:rPr>
            <w:t>Spis treści</w:t>
          </w:r>
        </w:p>
        <w:p w:rsidR="004C49C1" w:rsidRPr="00060ADD" w:rsidRDefault="00336CF0" w:rsidP="00060ADD">
          <w:pPr>
            <w:pStyle w:val="Spistreci1"/>
            <w:spacing w:after="0" w:line="360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887236">
            <w:rPr>
              <w:rFonts w:asciiTheme="minorHAnsi" w:hAnsiTheme="minorHAnsi"/>
            </w:rPr>
            <w:fldChar w:fldCharType="begin"/>
          </w:r>
          <w:r w:rsidRPr="00887236">
            <w:rPr>
              <w:rFonts w:asciiTheme="minorHAnsi" w:hAnsiTheme="minorHAnsi"/>
            </w:rPr>
            <w:instrText xml:space="preserve"> TOC \o "1-3" \h \z \u </w:instrText>
          </w:r>
          <w:r w:rsidRPr="00887236">
            <w:rPr>
              <w:rFonts w:asciiTheme="minorHAnsi" w:hAnsiTheme="minorHAnsi"/>
            </w:rPr>
            <w:fldChar w:fldCharType="separate"/>
          </w:r>
          <w:hyperlink w:anchor="_Toc5959670" w:history="1">
            <w:r w:rsidR="004C49C1"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I.</w:t>
            </w:r>
            <w:r w:rsidR="004C49C1" w:rsidRPr="00060ADD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="004C49C1"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Informacje dot. zasobu gminnego zarządzanego przez MZZL</w:t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_Toc5959670 \h </w:instrText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F2C4C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</w:t>
            </w:r>
            <w:r w:rsidR="004C49C1"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9C1" w:rsidRPr="00060ADD" w:rsidRDefault="004C49C1" w:rsidP="00060ADD">
          <w:pPr>
            <w:pStyle w:val="Spistreci1"/>
            <w:spacing w:after="0" w:line="360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5959671" w:history="1"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II.</w:t>
            </w:r>
            <w:r w:rsidRPr="00060ADD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Informacje dot. ilości umów zawartych w 2018 r. oraz ilości osób uprawnionych i oczekujących na lokal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_Toc5959671 \h </w:instrTex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F2C4C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9C1" w:rsidRPr="00060ADD" w:rsidRDefault="004C49C1" w:rsidP="00060ADD">
          <w:pPr>
            <w:pStyle w:val="Spistreci1"/>
            <w:spacing w:after="0" w:line="360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hyperlink w:anchor="_Toc5959672" w:history="1"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III.</w:t>
            </w:r>
            <w:r w:rsidRPr="00060ADD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Koszty remontów za 2018 rok i planowane na 2019 rok oraz dane dotyczące zmiany systemu ogrzewania w budynkach zarządzanych przez MZZL.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_Toc5959672 \h </w:instrTex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F2C4C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49C1" w:rsidRDefault="004C49C1" w:rsidP="00060ADD">
          <w:pPr>
            <w:pStyle w:val="Spistreci1"/>
            <w:spacing w:after="0" w:line="360" w:lineRule="auto"/>
            <w:rPr>
              <w:rFonts w:asciiTheme="minorHAnsi" w:hAnsiTheme="minorHAnsi"/>
              <w:noProof/>
            </w:rPr>
          </w:pPr>
          <w:hyperlink w:anchor="_Toc5959673" w:history="1"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IV.</w:t>
            </w:r>
            <w:r w:rsidRPr="00060ADD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</w:r>
            <w:r w:rsidRPr="00060ADD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Wysokość zadłużenia i działania podjęte w celu zmniejszenia zadłużenia.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_Toc5959673 \h </w:instrTex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F2C4C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Pr="00060AD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6CF0" w:rsidRDefault="00336CF0" w:rsidP="006F74DF">
          <w:r w:rsidRPr="00887236">
            <w:rPr>
              <w:b/>
              <w:bCs/>
            </w:rPr>
            <w:fldChar w:fldCharType="end"/>
          </w:r>
        </w:p>
      </w:sdtContent>
    </w:sdt>
    <w:p w:rsidR="006F74DF" w:rsidRDefault="006F74DF" w:rsidP="006F74DF">
      <w:pPr>
        <w:tabs>
          <w:tab w:val="left" w:pos="1843"/>
          <w:tab w:val="left" w:pos="9356"/>
        </w:tabs>
        <w:spacing w:line="312" w:lineRule="auto"/>
        <w:rPr>
          <w:lang w:eastAsia="pl-PL"/>
        </w:rPr>
      </w:pPr>
    </w:p>
    <w:p w:rsidR="006F74DF" w:rsidRDefault="006F74DF" w:rsidP="006F74DF">
      <w:pPr>
        <w:tabs>
          <w:tab w:val="left" w:pos="1843"/>
          <w:tab w:val="left" w:pos="9356"/>
        </w:tabs>
        <w:spacing w:line="312" w:lineRule="auto"/>
        <w:rPr>
          <w:lang w:eastAsia="pl-PL"/>
        </w:rPr>
      </w:pPr>
    </w:p>
    <w:p w:rsidR="00CF3145" w:rsidRDefault="00CF31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28C0" w:rsidRPr="009C4B53" w:rsidRDefault="000D28C0" w:rsidP="00F91774">
      <w:pPr>
        <w:pStyle w:val="Nagwek1"/>
        <w:tabs>
          <w:tab w:val="left" w:pos="426"/>
        </w:tabs>
        <w:spacing w:before="240" w:after="120"/>
        <w:rPr>
          <w:rFonts w:asciiTheme="minorHAnsi" w:hAnsiTheme="minorHAnsi"/>
          <w:color w:val="auto"/>
          <w:sz w:val="24"/>
          <w:szCs w:val="24"/>
        </w:rPr>
      </w:pPr>
      <w:bookmarkStart w:id="0" w:name="_Toc5959670"/>
      <w:r w:rsidRPr="009C4B53">
        <w:rPr>
          <w:rFonts w:asciiTheme="minorHAnsi" w:hAnsiTheme="minorHAnsi"/>
          <w:color w:val="auto"/>
          <w:sz w:val="24"/>
          <w:szCs w:val="24"/>
        </w:rPr>
        <w:lastRenderedPageBreak/>
        <w:t>I.</w:t>
      </w:r>
      <w:r w:rsidRPr="009C4B53">
        <w:rPr>
          <w:rFonts w:asciiTheme="minorHAnsi" w:hAnsiTheme="minorHAnsi"/>
          <w:color w:val="auto"/>
          <w:sz w:val="24"/>
          <w:szCs w:val="24"/>
        </w:rPr>
        <w:tab/>
        <w:t xml:space="preserve">Informacje </w:t>
      </w:r>
      <w:r w:rsidR="009C4B53">
        <w:rPr>
          <w:rFonts w:asciiTheme="minorHAnsi" w:hAnsiTheme="minorHAnsi"/>
          <w:color w:val="auto"/>
          <w:sz w:val="24"/>
          <w:szCs w:val="24"/>
        </w:rPr>
        <w:t>dot. zasobu</w:t>
      </w:r>
      <w:r w:rsidRPr="009C4B53">
        <w:rPr>
          <w:rFonts w:asciiTheme="minorHAnsi" w:hAnsiTheme="minorHAnsi"/>
          <w:color w:val="auto"/>
          <w:sz w:val="24"/>
          <w:szCs w:val="24"/>
        </w:rPr>
        <w:t xml:space="preserve"> gminnego zarządzanego przez MZZL</w:t>
      </w:r>
      <w:r w:rsidR="009C4B5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C4B53" w:rsidRPr="009C4B53">
        <w:rPr>
          <w:rFonts w:asciiTheme="minorHAnsi" w:hAnsiTheme="minorHAnsi"/>
          <w:b w:val="0"/>
          <w:color w:val="auto"/>
          <w:sz w:val="24"/>
          <w:szCs w:val="24"/>
        </w:rPr>
        <w:t xml:space="preserve">(na dzień 28.02.2019 </w:t>
      </w:r>
      <w:proofErr w:type="gramStart"/>
      <w:r w:rsidR="009C4B53" w:rsidRPr="009C4B53">
        <w:rPr>
          <w:rFonts w:asciiTheme="minorHAnsi" w:hAnsiTheme="minorHAnsi"/>
          <w:b w:val="0"/>
          <w:color w:val="auto"/>
          <w:sz w:val="24"/>
          <w:szCs w:val="24"/>
        </w:rPr>
        <w:t>r</w:t>
      </w:r>
      <w:proofErr w:type="gramEnd"/>
      <w:r w:rsidR="009C4B53" w:rsidRPr="009C4B53">
        <w:rPr>
          <w:rFonts w:asciiTheme="minorHAnsi" w:hAnsiTheme="minorHAnsi"/>
          <w:b w:val="0"/>
          <w:color w:val="auto"/>
          <w:sz w:val="24"/>
          <w:szCs w:val="24"/>
        </w:rPr>
        <w:t>.)</w:t>
      </w:r>
      <w:bookmarkEnd w:id="0"/>
    </w:p>
    <w:p w:rsidR="000D28C0" w:rsidRDefault="000D28C0" w:rsidP="009C4B53">
      <w:pPr>
        <w:tabs>
          <w:tab w:val="left" w:pos="426"/>
        </w:tabs>
      </w:pPr>
      <w:r>
        <w:t>1.</w:t>
      </w:r>
      <w:r>
        <w:tab/>
        <w:t>Ilość lokali gminnych</w:t>
      </w:r>
      <w:r w:rsidR="00012423">
        <w:tab/>
      </w:r>
      <w:r w:rsidR="00012423">
        <w:tab/>
      </w:r>
      <w:r w:rsidR="00012423">
        <w:tab/>
      </w:r>
      <w:r>
        <w:tab/>
        <w:t>- 9</w:t>
      </w:r>
      <w:r w:rsidR="00EF2C4C">
        <w:t> </w:t>
      </w:r>
      <w:r>
        <w:t>336</w:t>
      </w:r>
    </w:p>
    <w:p w:rsidR="000D28C0" w:rsidRDefault="000D28C0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w</w:t>
      </w:r>
      <w:proofErr w:type="gramEnd"/>
      <w:r>
        <w:t xml:space="preserve"> budynkach gminy </w:t>
      </w:r>
      <w:r>
        <w:tab/>
      </w:r>
      <w:r>
        <w:tab/>
      </w:r>
      <w:r>
        <w:tab/>
      </w:r>
      <w:r>
        <w:tab/>
        <w:t>- 3</w:t>
      </w:r>
      <w:r w:rsidR="00EF2C4C">
        <w:t> </w:t>
      </w:r>
      <w:r>
        <w:t>143</w:t>
      </w:r>
    </w:p>
    <w:p w:rsidR="000D28C0" w:rsidRDefault="000D28C0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w</w:t>
      </w:r>
      <w:proofErr w:type="gramEnd"/>
      <w:r>
        <w:t xml:space="preserve"> bud</w:t>
      </w:r>
      <w:r w:rsidR="009C4B53">
        <w:t xml:space="preserve">ynkach </w:t>
      </w:r>
      <w:r w:rsidR="00012423">
        <w:t>w</w:t>
      </w:r>
      <w:r w:rsidR="009C4B53">
        <w:t xml:space="preserve">spólnot </w:t>
      </w:r>
      <w:r w:rsidR="00012423">
        <w:t>m</w:t>
      </w:r>
      <w:r w:rsidR="009C4B53">
        <w:t xml:space="preserve">ieszkaniowych </w:t>
      </w:r>
      <w:r>
        <w:tab/>
        <w:t>- 5</w:t>
      </w:r>
      <w:r w:rsidR="00EF2C4C">
        <w:t> </w:t>
      </w:r>
      <w:r>
        <w:t>736</w:t>
      </w:r>
    </w:p>
    <w:p w:rsidR="000D28C0" w:rsidRDefault="00012423" w:rsidP="00FD4535">
      <w:pPr>
        <w:pStyle w:val="Akapitzlist"/>
        <w:numPr>
          <w:ilvl w:val="0"/>
          <w:numId w:val="1"/>
        </w:numPr>
        <w:spacing w:after="120"/>
        <w:ind w:left="709" w:hanging="284"/>
        <w:contextualSpacing w:val="0"/>
      </w:pPr>
      <w:proofErr w:type="gramStart"/>
      <w:r>
        <w:t>w</w:t>
      </w:r>
      <w:proofErr w:type="gramEnd"/>
      <w:r>
        <w:t xml:space="preserve"> budynkach prywatnych </w:t>
      </w:r>
      <w:r>
        <w:tab/>
      </w:r>
      <w:r>
        <w:tab/>
      </w:r>
      <w:r>
        <w:tab/>
        <w:t xml:space="preserve">- </w:t>
      </w:r>
      <w:r w:rsidR="000D28C0">
        <w:t>457</w:t>
      </w:r>
    </w:p>
    <w:p w:rsidR="000D28C0" w:rsidRDefault="000D28C0" w:rsidP="00012423">
      <w:pPr>
        <w:tabs>
          <w:tab w:val="left" w:pos="426"/>
        </w:tabs>
      </w:pPr>
      <w:r>
        <w:t>2.</w:t>
      </w:r>
      <w:r>
        <w:tab/>
        <w:t>Ilość budynków</w:t>
      </w:r>
      <w:r w:rsidR="00012423">
        <w:tab/>
      </w:r>
      <w:r w:rsidR="00012423">
        <w:tab/>
      </w:r>
      <w:r w:rsidR="00012423">
        <w:tab/>
      </w:r>
      <w:r w:rsidR="00012423">
        <w:tab/>
      </w:r>
      <w:r>
        <w:tab/>
        <w:t>- 683</w:t>
      </w:r>
    </w:p>
    <w:p w:rsidR="000D28C0" w:rsidRDefault="000D28C0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budynki</w:t>
      </w:r>
      <w:proofErr w:type="gramEnd"/>
      <w:r>
        <w:t xml:space="preserve"> gminy </w:t>
      </w:r>
      <w:r>
        <w:tab/>
      </w:r>
      <w:r>
        <w:tab/>
      </w:r>
      <w:r>
        <w:tab/>
      </w:r>
      <w:r>
        <w:tab/>
      </w:r>
      <w:r>
        <w:tab/>
        <w:t>- 309</w:t>
      </w:r>
    </w:p>
    <w:p w:rsidR="000D28C0" w:rsidRDefault="00012423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w</w:t>
      </w:r>
      <w:r w:rsidR="000D28C0">
        <w:t>spólnoty</w:t>
      </w:r>
      <w:proofErr w:type="gramEnd"/>
      <w:r w:rsidR="000D28C0">
        <w:t xml:space="preserve"> </w:t>
      </w:r>
      <w:r>
        <w:t xml:space="preserve">mieszkaniowe </w:t>
      </w:r>
      <w:r>
        <w:tab/>
      </w:r>
      <w:r w:rsidR="000D28C0">
        <w:tab/>
      </w:r>
      <w:r w:rsidR="000D28C0">
        <w:tab/>
        <w:t>- 325</w:t>
      </w:r>
    </w:p>
    <w:p w:rsidR="000D28C0" w:rsidRDefault="000D28C0" w:rsidP="00FD4535">
      <w:pPr>
        <w:pStyle w:val="Akapitzlist"/>
        <w:numPr>
          <w:ilvl w:val="0"/>
          <w:numId w:val="1"/>
        </w:numPr>
        <w:spacing w:after="120"/>
        <w:ind w:left="709" w:hanging="284"/>
        <w:contextualSpacing w:val="0"/>
      </w:pPr>
      <w:proofErr w:type="gramStart"/>
      <w:r>
        <w:t>budynki</w:t>
      </w:r>
      <w:proofErr w:type="gramEnd"/>
      <w:r>
        <w:t xml:space="preserve"> prywatne </w:t>
      </w:r>
      <w:r>
        <w:tab/>
      </w:r>
      <w:r>
        <w:tab/>
      </w:r>
      <w:r>
        <w:tab/>
      </w:r>
      <w:r>
        <w:tab/>
        <w:t>- 49</w:t>
      </w:r>
    </w:p>
    <w:p w:rsidR="000D28C0" w:rsidRDefault="000D28C0" w:rsidP="00012423">
      <w:pPr>
        <w:tabs>
          <w:tab w:val="left" w:pos="426"/>
        </w:tabs>
      </w:pPr>
      <w:r>
        <w:t>3.</w:t>
      </w:r>
      <w:r>
        <w:tab/>
        <w:t>Ilość pustostanów</w:t>
      </w:r>
      <w:r w:rsidR="00012423">
        <w:tab/>
      </w:r>
      <w:r w:rsidR="00012423">
        <w:tab/>
      </w:r>
      <w:r w:rsidR="00012423">
        <w:tab/>
      </w:r>
      <w:r>
        <w:tab/>
      </w:r>
      <w:r>
        <w:tab/>
        <w:t>- 372</w:t>
      </w:r>
    </w:p>
    <w:p w:rsidR="000D28C0" w:rsidRDefault="000D28C0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lokale</w:t>
      </w:r>
      <w:proofErr w:type="gramEnd"/>
      <w:r>
        <w:t xml:space="preserve"> do przydziału </w:t>
      </w:r>
      <w:r>
        <w:tab/>
      </w:r>
      <w:r>
        <w:tab/>
      </w:r>
      <w:r>
        <w:tab/>
      </w:r>
      <w:r>
        <w:tab/>
        <w:t>- 234</w:t>
      </w:r>
    </w:p>
    <w:p w:rsidR="000D28C0" w:rsidRDefault="00F91774" w:rsidP="00FD4535">
      <w:pPr>
        <w:pStyle w:val="Akapitzlist"/>
        <w:numPr>
          <w:ilvl w:val="0"/>
          <w:numId w:val="1"/>
        </w:numPr>
        <w:ind w:left="709" w:hanging="284"/>
        <w:contextualSpacing w:val="0"/>
      </w:pPr>
      <w:proofErr w:type="gramStart"/>
      <w:r>
        <w:t>lokale</w:t>
      </w:r>
      <w:proofErr w:type="gramEnd"/>
      <w:r>
        <w:t xml:space="preserve"> wskazane </w:t>
      </w:r>
      <w:r>
        <w:tab/>
      </w:r>
      <w:r>
        <w:tab/>
      </w:r>
      <w:r>
        <w:tab/>
      </w:r>
      <w:r w:rsidR="000D28C0">
        <w:tab/>
        <w:t>- 138</w:t>
      </w:r>
    </w:p>
    <w:p w:rsidR="000D28C0" w:rsidRPr="00F91774" w:rsidRDefault="000D28C0" w:rsidP="00F91774">
      <w:pPr>
        <w:pStyle w:val="Nagwek1"/>
        <w:tabs>
          <w:tab w:val="left" w:pos="426"/>
        </w:tabs>
        <w:spacing w:before="240" w:after="120"/>
        <w:ind w:left="426" w:hanging="426"/>
        <w:rPr>
          <w:rFonts w:asciiTheme="minorHAnsi" w:hAnsiTheme="minorHAnsi"/>
          <w:color w:val="auto"/>
          <w:sz w:val="24"/>
          <w:szCs w:val="24"/>
        </w:rPr>
      </w:pPr>
      <w:bookmarkStart w:id="1" w:name="_Toc5959671"/>
      <w:r w:rsidRPr="00F91774">
        <w:rPr>
          <w:rFonts w:asciiTheme="minorHAnsi" w:hAnsiTheme="minorHAnsi"/>
          <w:color w:val="auto"/>
          <w:sz w:val="24"/>
          <w:szCs w:val="24"/>
        </w:rPr>
        <w:t>II.</w:t>
      </w:r>
      <w:r w:rsidRPr="00F91774">
        <w:rPr>
          <w:rFonts w:asciiTheme="minorHAnsi" w:hAnsiTheme="minorHAnsi"/>
          <w:color w:val="auto"/>
          <w:sz w:val="24"/>
          <w:szCs w:val="24"/>
        </w:rPr>
        <w:tab/>
      </w:r>
      <w:r w:rsidRPr="00012423">
        <w:rPr>
          <w:rFonts w:asciiTheme="minorHAnsi" w:hAnsiTheme="minorHAnsi"/>
          <w:color w:val="auto"/>
          <w:sz w:val="24"/>
          <w:szCs w:val="24"/>
        </w:rPr>
        <w:t>Informacje</w:t>
      </w:r>
      <w:r w:rsidRPr="00F91774">
        <w:rPr>
          <w:rFonts w:asciiTheme="minorHAnsi" w:hAnsiTheme="minorHAnsi"/>
          <w:color w:val="auto"/>
          <w:sz w:val="24"/>
          <w:szCs w:val="24"/>
        </w:rPr>
        <w:t xml:space="preserve"> dot. ilości umów zawartych w 2018 r. </w:t>
      </w:r>
      <w:r w:rsidR="00F91774">
        <w:rPr>
          <w:rFonts w:asciiTheme="minorHAnsi" w:hAnsiTheme="minorHAnsi"/>
          <w:color w:val="auto"/>
          <w:sz w:val="24"/>
          <w:szCs w:val="24"/>
        </w:rPr>
        <w:t>oraz ilości osób uprawnionych i</w:t>
      </w:r>
      <w:r w:rsidR="00FD0076">
        <w:rPr>
          <w:rFonts w:asciiTheme="minorHAnsi" w:hAnsiTheme="minorHAnsi"/>
          <w:color w:val="auto"/>
          <w:sz w:val="24"/>
          <w:szCs w:val="24"/>
        </w:rPr>
        <w:t> </w:t>
      </w:r>
      <w:r w:rsidR="00F91774">
        <w:rPr>
          <w:rFonts w:asciiTheme="minorHAnsi" w:hAnsiTheme="minorHAnsi"/>
          <w:color w:val="auto"/>
          <w:sz w:val="24"/>
          <w:szCs w:val="24"/>
        </w:rPr>
        <w:t>oczekujących na lokal</w:t>
      </w:r>
      <w:bookmarkEnd w:id="1"/>
    </w:p>
    <w:p w:rsidR="000D28C0" w:rsidRDefault="000D28C0" w:rsidP="00FD453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</w:pPr>
      <w:r>
        <w:t xml:space="preserve">Ilość umów zawartych w 2018 r. </w:t>
      </w:r>
      <w:r>
        <w:tab/>
      </w:r>
      <w:r>
        <w:tab/>
      </w:r>
      <w:r>
        <w:tab/>
        <w:t>- 405</w:t>
      </w:r>
    </w:p>
    <w:p w:rsidR="000D28C0" w:rsidRDefault="000D28C0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umowy</w:t>
      </w:r>
      <w:proofErr w:type="gramEnd"/>
      <w:r>
        <w:t xml:space="preserve"> na czas nieoznaczony </w:t>
      </w:r>
      <w:r>
        <w:tab/>
      </w:r>
      <w:r>
        <w:tab/>
      </w:r>
      <w:r>
        <w:tab/>
        <w:t>- 324</w:t>
      </w:r>
    </w:p>
    <w:p w:rsidR="000D28C0" w:rsidRDefault="00FD0076" w:rsidP="00FD4535">
      <w:pPr>
        <w:pStyle w:val="Akapitzlist"/>
        <w:numPr>
          <w:ilvl w:val="0"/>
          <w:numId w:val="1"/>
        </w:numPr>
        <w:spacing w:after="120"/>
        <w:ind w:left="709" w:hanging="284"/>
        <w:contextualSpacing w:val="0"/>
      </w:pPr>
      <w:proofErr w:type="gramStart"/>
      <w:r>
        <w:t>umowy</w:t>
      </w:r>
      <w:proofErr w:type="gramEnd"/>
      <w:r>
        <w:t xml:space="preserve"> na czas oznaczony </w:t>
      </w:r>
      <w:r>
        <w:tab/>
      </w:r>
      <w:r>
        <w:tab/>
      </w:r>
      <w:r>
        <w:tab/>
        <w:t xml:space="preserve">- </w:t>
      </w:r>
      <w:r w:rsidR="000D28C0">
        <w:t>81</w:t>
      </w:r>
    </w:p>
    <w:p w:rsidR="009E059C" w:rsidRDefault="000D28C0" w:rsidP="00FD4535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>
        <w:t>Ilość osób uprawnionych przez Prezydenta Miasta do najmu lokalu komunalnego</w:t>
      </w:r>
      <w:r w:rsidR="00756D11">
        <w:t xml:space="preserve"> w latach 2015-2018: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058"/>
        <w:gridCol w:w="2232"/>
        <w:gridCol w:w="2232"/>
        <w:gridCol w:w="2124"/>
      </w:tblGrid>
      <w:tr w:rsidR="00FD0076" w:rsidRPr="00FD0076" w:rsidTr="00FD0076">
        <w:trPr>
          <w:trHeight w:val="419"/>
        </w:trPr>
        <w:tc>
          <w:tcPr>
            <w:tcW w:w="2058" w:type="dxa"/>
            <w:shd w:val="clear" w:color="auto" w:fill="C2D69B" w:themeFill="accent3" w:themeFillTint="99"/>
            <w:vAlign w:val="center"/>
          </w:tcPr>
          <w:p w:rsidR="00FD0076" w:rsidRPr="00FD0076" w:rsidRDefault="00756D11" w:rsidP="00FD00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32" w:type="dxa"/>
            <w:shd w:val="clear" w:color="auto" w:fill="C2D69B" w:themeFill="accent3" w:themeFillTint="99"/>
            <w:vAlign w:val="center"/>
          </w:tcPr>
          <w:p w:rsidR="00FD0076" w:rsidRPr="00FD0076" w:rsidRDefault="00756D11" w:rsidP="00FD00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32" w:type="dxa"/>
            <w:shd w:val="clear" w:color="auto" w:fill="C2D69B" w:themeFill="accent3" w:themeFillTint="99"/>
            <w:vAlign w:val="center"/>
          </w:tcPr>
          <w:p w:rsidR="00FD0076" w:rsidRPr="00FD0076" w:rsidRDefault="00756D11" w:rsidP="00FD00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:rsidR="00FD0076" w:rsidRPr="00FD0076" w:rsidRDefault="00756D11" w:rsidP="00FD00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D0076" w:rsidRPr="00FD0076" w:rsidTr="00FD0076">
        <w:trPr>
          <w:trHeight w:val="419"/>
        </w:trPr>
        <w:tc>
          <w:tcPr>
            <w:tcW w:w="2058" w:type="dxa"/>
            <w:vAlign w:val="center"/>
          </w:tcPr>
          <w:p w:rsidR="00FD0076" w:rsidRPr="00FD0076" w:rsidRDefault="00FD0076" w:rsidP="00FD0076">
            <w:pPr>
              <w:spacing w:line="276" w:lineRule="auto"/>
              <w:jc w:val="center"/>
            </w:pPr>
            <w:r w:rsidRPr="00FD0076">
              <w:t>262</w:t>
            </w:r>
          </w:p>
        </w:tc>
        <w:tc>
          <w:tcPr>
            <w:tcW w:w="2232" w:type="dxa"/>
            <w:vAlign w:val="center"/>
          </w:tcPr>
          <w:p w:rsidR="00FD0076" w:rsidRPr="00FD0076" w:rsidRDefault="00FD0076" w:rsidP="00FD0076">
            <w:pPr>
              <w:spacing w:line="276" w:lineRule="auto"/>
              <w:jc w:val="center"/>
            </w:pPr>
            <w:r w:rsidRPr="00FD0076">
              <w:t>330</w:t>
            </w:r>
          </w:p>
        </w:tc>
        <w:tc>
          <w:tcPr>
            <w:tcW w:w="2232" w:type="dxa"/>
            <w:vAlign w:val="center"/>
          </w:tcPr>
          <w:p w:rsidR="00FD0076" w:rsidRPr="00FD0076" w:rsidRDefault="00FD0076" w:rsidP="00FD0076">
            <w:pPr>
              <w:spacing w:line="276" w:lineRule="auto"/>
              <w:jc w:val="center"/>
            </w:pPr>
            <w:r w:rsidRPr="00FD0076">
              <w:t>342</w:t>
            </w:r>
          </w:p>
        </w:tc>
        <w:tc>
          <w:tcPr>
            <w:tcW w:w="2124" w:type="dxa"/>
            <w:vAlign w:val="center"/>
          </w:tcPr>
          <w:p w:rsidR="00FD0076" w:rsidRPr="00FD0076" w:rsidRDefault="00FD0076" w:rsidP="00FD0076">
            <w:pPr>
              <w:spacing w:line="276" w:lineRule="auto"/>
              <w:jc w:val="center"/>
            </w:pPr>
            <w:r w:rsidRPr="00FD0076">
              <w:t>364</w:t>
            </w:r>
          </w:p>
        </w:tc>
      </w:tr>
    </w:tbl>
    <w:p w:rsidR="00FD0076" w:rsidRDefault="00FD0076" w:rsidP="009E059C"/>
    <w:p w:rsidR="00756D11" w:rsidRDefault="00FD0076" w:rsidP="00FD453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</w:pPr>
      <w:r>
        <w:t xml:space="preserve">Ilość osób oczekujących na lokal, uprawnionych przez Prezydenta Miasta </w:t>
      </w:r>
    </w:p>
    <w:p w:rsidR="00FD0076" w:rsidRDefault="00FD0076" w:rsidP="00756D11">
      <w:pPr>
        <w:pStyle w:val="Akapitzlist"/>
        <w:tabs>
          <w:tab w:val="left" w:pos="426"/>
        </w:tabs>
        <w:spacing w:after="120"/>
        <w:ind w:left="425"/>
        <w:contextualSpacing w:val="0"/>
      </w:pPr>
      <w:r>
        <w:t>(na dn. 28.02.2019 r.)</w:t>
      </w:r>
      <w:r>
        <w:tab/>
      </w:r>
      <w:r w:rsidR="00756D11">
        <w:tab/>
      </w:r>
      <w:r w:rsidR="00756D11">
        <w:tab/>
      </w:r>
      <w:r w:rsidR="00756D11">
        <w:tab/>
      </w:r>
      <w:r w:rsidR="00B5570E">
        <w:t>- 157.</w:t>
      </w:r>
    </w:p>
    <w:p w:rsidR="00FD0076" w:rsidRDefault="00FD0076" w:rsidP="00FD4535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>
        <w:t>Ilość wyroków sądowych o eksmisję do realizacji</w:t>
      </w:r>
      <w:r w:rsidR="00B5570E">
        <w:t xml:space="preserve"> w latach 2015-2019: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224"/>
        <w:gridCol w:w="1284"/>
        <w:gridCol w:w="1284"/>
        <w:gridCol w:w="1285"/>
        <w:gridCol w:w="1284"/>
        <w:gridCol w:w="1285"/>
      </w:tblGrid>
      <w:tr w:rsidR="00FD0076" w:rsidRPr="00FD0076" w:rsidTr="0019137B">
        <w:trPr>
          <w:trHeight w:val="518"/>
        </w:trPr>
        <w:tc>
          <w:tcPr>
            <w:tcW w:w="2224" w:type="dxa"/>
            <w:shd w:val="clear" w:color="auto" w:fill="C2D69B" w:themeFill="accent3" w:themeFillTint="99"/>
            <w:vAlign w:val="center"/>
          </w:tcPr>
          <w:p w:rsidR="00FD0076" w:rsidRPr="00FD0076" w:rsidRDefault="00FD0076" w:rsidP="00FD0076">
            <w:pPr>
              <w:spacing w:line="276" w:lineRule="auto"/>
              <w:rPr>
                <w:b/>
              </w:rPr>
            </w:pPr>
            <w:r w:rsidRPr="00FD0076">
              <w:rPr>
                <w:b/>
              </w:rPr>
              <w:t>Wierzyciel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FD0076" w:rsidRPr="00FD0076" w:rsidRDefault="00FD0076" w:rsidP="00B5570E">
            <w:pPr>
              <w:rPr>
                <w:b/>
              </w:rPr>
            </w:pPr>
            <w:r w:rsidRPr="00FD0076">
              <w:rPr>
                <w:b/>
              </w:rPr>
              <w:t>Stan na 31.12.2015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FD0076" w:rsidRPr="00FD0076" w:rsidRDefault="00FD0076" w:rsidP="00B5570E">
            <w:pPr>
              <w:rPr>
                <w:b/>
              </w:rPr>
            </w:pPr>
            <w:r w:rsidRPr="00FD0076">
              <w:rPr>
                <w:b/>
              </w:rPr>
              <w:t>Stan na 31.12.2016</w:t>
            </w:r>
          </w:p>
        </w:tc>
        <w:tc>
          <w:tcPr>
            <w:tcW w:w="1285" w:type="dxa"/>
            <w:shd w:val="clear" w:color="auto" w:fill="C2D69B" w:themeFill="accent3" w:themeFillTint="99"/>
            <w:vAlign w:val="center"/>
          </w:tcPr>
          <w:p w:rsidR="00FD0076" w:rsidRPr="00FD0076" w:rsidRDefault="00FD0076" w:rsidP="00B5570E">
            <w:pPr>
              <w:rPr>
                <w:b/>
              </w:rPr>
            </w:pPr>
            <w:r w:rsidRPr="00FD0076">
              <w:rPr>
                <w:b/>
              </w:rPr>
              <w:t>Stan na 31.12.2017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FD0076" w:rsidRPr="00FD0076" w:rsidRDefault="00FD0076" w:rsidP="00B5570E">
            <w:pPr>
              <w:rPr>
                <w:b/>
              </w:rPr>
            </w:pPr>
            <w:r w:rsidRPr="00FD0076">
              <w:rPr>
                <w:b/>
              </w:rPr>
              <w:t>Stan na 31.12.2018</w:t>
            </w:r>
          </w:p>
        </w:tc>
        <w:tc>
          <w:tcPr>
            <w:tcW w:w="1285" w:type="dxa"/>
            <w:shd w:val="clear" w:color="auto" w:fill="C2D69B" w:themeFill="accent3" w:themeFillTint="99"/>
            <w:vAlign w:val="center"/>
          </w:tcPr>
          <w:p w:rsidR="00FD0076" w:rsidRPr="00FD0076" w:rsidRDefault="00FD0076" w:rsidP="00B5570E">
            <w:pPr>
              <w:rPr>
                <w:b/>
              </w:rPr>
            </w:pPr>
            <w:r w:rsidRPr="00FD0076">
              <w:rPr>
                <w:b/>
              </w:rPr>
              <w:t>Stan na 28.02.2019</w:t>
            </w:r>
          </w:p>
        </w:tc>
      </w:tr>
      <w:tr w:rsidR="00FD0076" w:rsidRPr="00FD0076" w:rsidTr="0019137B">
        <w:tc>
          <w:tcPr>
            <w:tcW w:w="2224" w:type="dxa"/>
          </w:tcPr>
          <w:p w:rsidR="00FD0076" w:rsidRPr="00FD0076" w:rsidRDefault="00FD0076" w:rsidP="00B5570E">
            <w:r w:rsidRPr="00FD0076">
              <w:t xml:space="preserve">Gmina </w:t>
            </w:r>
            <w:r w:rsidR="00B5570E">
              <w:t>-</w:t>
            </w:r>
            <w:r w:rsidRPr="00FD0076">
              <w:t xml:space="preserve"> z prawem do lokalu socjalnego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585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532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520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428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414</w:t>
            </w:r>
          </w:p>
        </w:tc>
      </w:tr>
      <w:tr w:rsidR="00FD0076" w:rsidRPr="00FD0076" w:rsidTr="0019137B">
        <w:tc>
          <w:tcPr>
            <w:tcW w:w="2224" w:type="dxa"/>
          </w:tcPr>
          <w:p w:rsidR="00FD0076" w:rsidRPr="00FD0076" w:rsidRDefault="00FD0076" w:rsidP="00B5570E">
            <w:r w:rsidRPr="00FD0076">
              <w:t xml:space="preserve">Gmina </w:t>
            </w:r>
            <w:r w:rsidR="00B5570E">
              <w:t>-</w:t>
            </w:r>
            <w:r w:rsidRPr="00FD0076">
              <w:t xml:space="preserve"> bez prawa do lokalu socjalnego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326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290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256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225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220</w:t>
            </w:r>
          </w:p>
        </w:tc>
      </w:tr>
      <w:tr w:rsidR="00FD0076" w:rsidRPr="00FD0076" w:rsidTr="0019137B">
        <w:tc>
          <w:tcPr>
            <w:tcW w:w="2224" w:type="dxa"/>
            <w:tcBorders>
              <w:bottom w:val="single" w:sz="4" w:space="0" w:color="auto"/>
            </w:tcBorders>
          </w:tcPr>
          <w:p w:rsidR="00FD0076" w:rsidRPr="00FD0076" w:rsidRDefault="00FD0076" w:rsidP="00B5570E">
            <w:r w:rsidRPr="00FD0076">
              <w:t xml:space="preserve">Obcy </w:t>
            </w:r>
            <w:r w:rsidR="00B5570E">
              <w:t>-</w:t>
            </w:r>
            <w:r w:rsidRPr="00FD0076">
              <w:t xml:space="preserve"> z prawem do lokalu socjalnego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345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274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232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216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214</w:t>
            </w:r>
          </w:p>
        </w:tc>
      </w:tr>
      <w:tr w:rsidR="00FD0076" w:rsidRPr="00FD0076" w:rsidTr="0019137B">
        <w:tc>
          <w:tcPr>
            <w:tcW w:w="2224" w:type="dxa"/>
            <w:tcBorders>
              <w:bottom w:val="single" w:sz="4" w:space="0" w:color="auto"/>
            </w:tcBorders>
          </w:tcPr>
          <w:p w:rsidR="00FD0076" w:rsidRPr="00FD0076" w:rsidRDefault="00FD0076" w:rsidP="00B5570E">
            <w:r w:rsidRPr="00FD0076">
              <w:t>Obcy</w:t>
            </w:r>
            <w:r w:rsidR="00B5570E">
              <w:t>-</w:t>
            </w:r>
            <w:r w:rsidRPr="00FD0076">
              <w:t xml:space="preserve"> bez prawa do lokalu socjalnego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62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68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78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81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81</w:t>
            </w:r>
          </w:p>
        </w:tc>
      </w:tr>
      <w:tr w:rsidR="00FD0076" w:rsidRPr="00FD0076" w:rsidTr="0019137B">
        <w:trPr>
          <w:trHeight w:val="472"/>
        </w:trPr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0076" w:rsidRPr="00FD0076" w:rsidRDefault="00FD0076" w:rsidP="00FD0076">
            <w:pPr>
              <w:spacing w:line="276" w:lineRule="auto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D0076" w:rsidRPr="00FD0076" w:rsidRDefault="00FD0076" w:rsidP="00F75802">
            <w:pPr>
              <w:spacing w:line="276" w:lineRule="auto"/>
              <w:jc w:val="center"/>
            </w:pPr>
            <w:r w:rsidRPr="00FD0076">
              <w:t>1</w:t>
            </w:r>
            <w:r w:rsidR="00F75802">
              <w:t> </w:t>
            </w:r>
            <w:r w:rsidRPr="00FD0076">
              <w:t>318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F75802">
            <w:pPr>
              <w:spacing w:line="276" w:lineRule="auto"/>
              <w:jc w:val="center"/>
            </w:pPr>
            <w:r w:rsidRPr="00FD0076">
              <w:t>1</w:t>
            </w:r>
            <w:r w:rsidR="00F75802">
              <w:t> </w:t>
            </w:r>
            <w:r w:rsidRPr="00FD0076">
              <w:t>164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F75802">
            <w:pPr>
              <w:spacing w:line="276" w:lineRule="auto"/>
              <w:jc w:val="center"/>
            </w:pPr>
            <w:r w:rsidRPr="00FD0076">
              <w:t>1</w:t>
            </w:r>
            <w:r w:rsidR="00F75802">
              <w:t> </w:t>
            </w:r>
            <w:r w:rsidRPr="00FD0076">
              <w:t>087</w:t>
            </w:r>
          </w:p>
        </w:tc>
        <w:tc>
          <w:tcPr>
            <w:tcW w:w="1284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950</w:t>
            </w:r>
          </w:p>
        </w:tc>
        <w:tc>
          <w:tcPr>
            <w:tcW w:w="1285" w:type="dxa"/>
            <w:vAlign w:val="center"/>
          </w:tcPr>
          <w:p w:rsidR="00FD0076" w:rsidRPr="00FD0076" w:rsidRDefault="00FD0076" w:rsidP="00B5570E">
            <w:pPr>
              <w:spacing w:line="276" w:lineRule="auto"/>
              <w:jc w:val="center"/>
            </w:pPr>
            <w:r w:rsidRPr="00FD0076">
              <w:t>929</w:t>
            </w:r>
          </w:p>
        </w:tc>
      </w:tr>
    </w:tbl>
    <w:p w:rsidR="00B043EE" w:rsidRDefault="00B043EE" w:rsidP="009E059C"/>
    <w:p w:rsidR="00FD0076" w:rsidRDefault="00FD0076" w:rsidP="00FD453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</w:pPr>
      <w:r>
        <w:t xml:space="preserve">Ilość wyroków uzyskanych w 2018 r. </w:t>
      </w:r>
      <w:r>
        <w:tab/>
      </w:r>
      <w:r>
        <w:tab/>
        <w:t>- 91</w:t>
      </w:r>
    </w:p>
    <w:p w:rsidR="00FD0076" w:rsidRDefault="00FD0076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z</w:t>
      </w:r>
      <w:proofErr w:type="gramEnd"/>
      <w:r>
        <w:t xml:space="preserve"> prawem do lokalu socjalnego (gmina) </w:t>
      </w:r>
      <w:r>
        <w:tab/>
      </w:r>
      <w:r>
        <w:tab/>
        <w:t xml:space="preserve">- 63 </w:t>
      </w:r>
    </w:p>
    <w:p w:rsidR="00FD0076" w:rsidRDefault="00FD0076" w:rsidP="00FD4535">
      <w:pPr>
        <w:pStyle w:val="Akapitzlist"/>
        <w:numPr>
          <w:ilvl w:val="0"/>
          <w:numId w:val="1"/>
        </w:numPr>
        <w:ind w:left="709" w:hanging="283"/>
      </w:pPr>
      <w:proofErr w:type="gramStart"/>
      <w:r>
        <w:t>z</w:t>
      </w:r>
      <w:proofErr w:type="gramEnd"/>
      <w:r>
        <w:t xml:space="preserve"> prawem do lokalu socjalnego (obce) </w:t>
      </w:r>
      <w:r>
        <w:tab/>
      </w:r>
      <w:r>
        <w:tab/>
        <w:t>- 28</w:t>
      </w:r>
    </w:p>
    <w:p w:rsidR="00B5570E" w:rsidRPr="00B5570E" w:rsidRDefault="00B5570E" w:rsidP="00B5570E">
      <w:pPr>
        <w:pStyle w:val="Nagwek1"/>
        <w:tabs>
          <w:tab w:val="left" w:pos="426"/>
        </w:tabs>
        <w:spacing w:before="240" w:after="120"/>
        <w:ind w:left="426" w:hanging="426"/>
        <w:rPr>
          <w:rFonts w:asciiTheme="minorHAnsi" w:hAnsiTheme="minorHAnsi"/>
          <w:color w:val="auto"/>
          <w:sz w:val="24"/>
          <w:szCs w:val="24"/>
        </w:rPr>
      </w:pPr>
      <w:bookmarkStart w:id="2" w:name="_Toc5959672"/>
      <w:r>
        <w:rPr>
          <w:rFonts w:asciiTheme="minorHAnsi" w:hAnsiTheme="minorHAnsi"/>
          <w:color w:val="auto"/>
          <w:sz w:val="24"/>
          <w:szCs w:val="24"/>
        </w:rPr>
        <w:lastRenderedPageBreak/>
        <w:t>III.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Pr="00B5570E">
        <w:rPr>
          <w:rFonts w:asciiTheme="minorHAnsi" w:hAnsiTheme="minorHAnsi"/>
          <w:color w:val="auto"/>
          <w:sz w:val="24"/>
          <w:szCs w:val="24"/>
        </w:rPr>
        <w:t>Koszty remontów za 2018 rok i planowane na 2019 rok oraz dane dotyczące zmiany systemu ogrzewania w budynkach zarządzanych przez MZZL.</w:t>
      </w:r>
      <w:bookmarkEnd w:id="2"/>
    </w:p>
    <w:p w:rsidR="00B5570E" w:rsidRDefault="00B5570E" w:rsidP="00FD453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2018 roku zostały wykonane roboty remontowe i inwestycyjne na łączną kwotę 12 194 688,25 zł. Zakres i koszty poszczególnych zadań </w:t>
      </w:r>
      <w:r w:rsidR="004B6EDC">
        <w:t>zostały przedstawione w tabeli nr 1</w:t>
      </w:r>
      <w:r>
        <w:t>.</w:t>
      </w:r>
    </w:p>
    <w:p w:rsidR="00B5570E" w:rsidRDefault="00B5570E" w:rsidP="00FD453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Na 2019 rok zaplanowano wykonanie robót remontowych i inwestycyjnych na kwotę 19 635 928,95 zł., </w:t>
      </w:r>
      <w:proofErr w:type="gramStart"/>
      <w:r>
        <w:t>które</w:t>
      </w:r>
      <w:proofErr w:type="gramEnd"/>
      <w:r>
        <w:t xml:space="preserve"> przedstawione zostały w tabeli nr 2.</w:t>
      </w:r>
    </w:p>
    <w:p w:rsidR="00B5570E" w:rsidRDefault="00B5570E" w:rsidP="00FD4535">
      <w:pPr>
        <w:pStyle w:val="Akapitzlist"/>
        <w:numPr>
          <w:ilvl w:val="0"/>
          <w:numId w:val="3"/>
        </w:numPr>
        <w:ind w:left="426" w:hanging="426"/>
        <w:jc w:val="both"/>
      </w:pPr>
      <w:r>
        <w:t>W 2018 roku wykonano ogrzewanie ekologiczne w 580 mieszkaniach zarządzanych przez MZZL.</w:t>
      </w:r>
    </w:p>
    <w:p w:rsidR="00FD0076" w:rsidRDefault="00B5570E" w:rsidP="00FD4535">
      <w:pPr>
        <w:pStyle w:val="Akapitzlist"/>
        <w:numPr>
          <w:ilvl w:val="0"/>
          <w:numId w:val="3"/>
        </w:numPr>
        <w:ind w:left="426" w:hanging="426"/>
        <w:jc w:val="both"/>
      </w:pPr>
      <w:r>
        <w:t>W 2019 roku planowana jest zmiana sposobu ogrzewania na</w:t>
      </w:r>
      <w:r w:rsidR="004B6EDC">
        <w:t xml:space="preserve"> ekologiczne (gazowe lub zdalno-</w:t>
      </w:r>
      <w:r>
        <w:t>czynne) w</w:t>
      </w:r>
      <w:r w:rsidR="004B6EDC">
        <w:t> </w:t>
      </w:r>
      <w:r>
        <w:t>226 lokalach mieszkalnych, w tym 4 osoby zdeklarowały współfinansowanie tej zmiany. Resztę kosztów poniesie MZZL ze środków własnych. Istnieje możliwość zwiększenia tej liczby przy przekazaniu pustostanów do remontu kolejnym najemcom.</w:t>
      </w:r>
    </w:p>
    <w:p w:rsidR="00476A26" w:rsidRPr="00476A26" w:rsidRDefault="00476A26" w:rsidP="00F75802">
      <w:pPr>
        <w:pStyle w:val="Nagwek1"/>
        <w:tabs>
          <w:tab w:val="left" w:pos="426"/>
        </w:tabs>
        <w:spacing w:before="120" w:after="120"/>
        <w:ind w:left="425" w:hanging="425"/>
        <w:rPr>
          <w:rFonts w:asciiTheme="minorHAnsi" w:hAnsiTheme="minorHAnsi"/>
          <w:color w:val="auto"/>
          <w:sz w:val="24"/>
          <w:szCs w:val="24"/>
        </w:rPr>
      </w:pPr>
      <w:bookmarkStart w:id="3" w:name="_Toc5959673"/>
      <w:r>
        <w:rPr>
          <w:rFonts w:asciiTheme="minorHAnsi" w:hAnsiTheme="minorHAnsi"/>
          <w:color w:val="auto"/>
          <w:sz w:val="24"/>
          <w:szCs w:val="24"/>
        </w:rPr>
        <w:t>IV.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Pr="00476A26">
        <w:rPr>
          <w:rFonts w:asciiTheme="minorHAnsi" w:hAnsiTheme="minorHAnsi"/>
          <w:color w:val="auto"/>
          <w:sz w:val="24"/>
          <w:szCs w:val="24"/>
        </w:rPr>
        <w:t>Wysokość zadłużenia i działania podjęte w celu zmniejszenia zadłużenia</w:t>
      </w:r>
      <w:r>
        <w:rPr>
          <w:rFonts w:asciiTheme="minorHAnsi" w:hAnsiTheme="minorHAnsi"/>
          <w:color w:val="auto"/>
          <w:sz w:val="24"/>
          <w:szCs w:val="24"/>
        </w:rPr>
        <w:t>.</w:t>
      </w:r>
      <w:bookmarkEnd w:id="3"/>
    </w:p>
    <w:p w:rsidR="00476A26" w:rsidRDefault="00476A26" w:rsidP="00FD4535">
      <w:pPr>
        <w:pStyle w:val="Akapitzlist"/>
        <w:numPr>
          <w:ilvl w:val="0"/>
          <w:numId w:val="4"/>
        </w:numPr>
        <w:ind w:left="426" w:hanging="426"/>
      </w:pPr>
      <w:r>
        <w:t>Informacje ogólne dotyczące procesu windykacji</w:t>
      </w:r>
    </w:p>
    <w:p w:rsidR="00476A26" w:rsidRDefault="00476A26" w:rsidP="0051263B">
      <w:pPr>
        <w:ind w:left="426"/>
        <w:jc w:val="both"/>
      </w:pPr>
      <w:r>
        <w:t>Czynności windykacyjne w Miejskim Zakładzie Zasobów Lokalowych prowadzone są zgodnie</w:t>
      </w:r>
      <w:r w:rsidR="00000C53">
        <w:t xml:space="preserve"> </w:t>
      </w:r>
      <w:r>
        <w:t>z</w:t>
      </w:r>
      <w:r w:rsidR="0051263B">
        <w:t> </w:t>
      </w:r>
      <w:r>
        <w:t xml:space="preserve">przepisami określonymi w ustawie z dnia 21 czerwca 2001 r. o ochronie </w:t>
      </w:r>
      <w:proofErr w:type="gramStart"/>
      <w:r>
        <w:t>praw</w:t>
      </w:r>
      <w:proofErr w:type="gramEnd"/>
      <w:r>
        <w:t xml:space="preserve"> lokatorów, mieszkaniowym zasobie gminy i o zmianie Kodeksu cywilnego (tekst jednolity - Dz. U. </w:t>
      </w:r>
      <w:proofErr w:type="gramStart"/>
      <w:r>
        <w:t>z</w:t>
      </w:r>
      <w:proofErr w:type="gramEnd"/>
      <w:r>
        <w:t xml:space="preserve"> 2018 r., poz. 1234,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obowiązującą w </w:t>
      </w:r>
      <w:r w:rsidR="00000C53">
        <w:t>MZZL</w:t>
      </w:r>
      <w:r>
        <w:t xml:space="preserve"> Procedurą windykacji należności</w:t>
      </w:r>
      <w:r w:rsidR="00000C53">
        <w:t xml:space="preserve">, </w:t>
      </w:r>
      <w:r>
        <w:t>stanowiącą załącznik do zarządzenia Dyrektora Miejskiego Zakładu Zasobów Lokalowych nr 4/2019 z dnia 15-01-2019 r. w</w:t>
      </w:r>
      <w:r w:rsidR="0051263B">
        <w:t> </w:t>
      </w:r>
      <w:r>
        <w:t>sprawie: przyjęcia Procedury windykacji należności w Miejskim Zakładzie Zasobów Lokalowych w</w:t>
      </w:r>
      <w:r w:rsidR="0051263B">
        <w:t> </w:t>
      </w:r>
      <w:r>
        <w:t>Sosnowcu.</w:t>
      </w:r>
    </w:p>
    <w:p w:rsidR="005E5871" w:rsidRDefault="00476A26" w:rsidP="0051263B">
      <w:pPr>
        <w:ind w:left="426"/>
        <w:jc w:val="both"/>
      </w:pPr>
      <w:r>
        <w:t xml:space="preserve">Proces windykacji w </w:t>
      </w:r>
      <w:r w:rsidR="00000C53">
        <w:t>MZZL</w:t>
      </w:r>
      <w:r>
        <w:t xml:space="preserve"> przebiega według poniższego schematu:</w:t>
      </w:r>
    </w:p>
    <w:p w:rsidR="005E5871" w:rsidRDefault="005E5871" w:rsidP="005E5871">
      <w:r w:rsidRPr="00F75802">
        <w:drawing>
          <wp:anchor distT="0" distB="0" distL="114300" distR="114300" simplePos="0" relativeHeight="251658240" behindDoc="1" locked="0" layoutInCell="1" allowOverlap="1" wp14:anchorId="2F7C8DC9" wp14:editId="58582A4A">
            <wp:simplePos x="0" y="0"/>
            <wp:positionH relativeFrom="column">
              <wp:posOffset>1211068</wp:posOffset>
            </wp:positionH>
            <wp:positionV relativeFrom="paragraph">
              <wp:posOffset>-351</wp:posOffset>
            </wp:positionV>
            <wp:extent cx="3758400" cy="4330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4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76A26" w:rsidRDefault="00000C53" w:rsidP="00FD4535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</w:pPr>
      <w:r>
        <w:lastRenderedPageBreak/>
        <w:t>Zestawienia dotyczące stanu zadłużenia</w:t>
      </w:r>
      <w:r w:rsidR="00052AE4">
        <w:t>:</w:t>
      </w:r>
    </w:p>
    <w:p w:rsidR="00285611" w:rsidRPr="009B72E9" w:rsidRDefault="00476A26" w:rsidP="006E1F7B">
      <w:pPr>
        <w:spacing w:after="60"/>
        <w:rPr>
          <w:b/>
          <w:sz w:val="20"/>
          <w:szCs w:val="20"/>
        </w:rPr>
      </w:pPr>
      <w:r w:rsidRPr="009B72E9">
        <w:rPr>
          <w:b/>
          <w:sz w:val="20"/>
          <w:szCs w:val="20"/>
        </w:rPr>
        <w:t>Tabela nr 1. Zestawienie zaległości z podziałem na tytuły. Porównanie lat 2016-2018.</w:t>
      </w:r>
    </w:p>
    <w:tbl>
      <w:tblPr>
        <w:tblW w:w="4908" w:type="pct"/>
        <w:jc w:val="center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4"/>
        <w:gridCol w:w="1298"/>
        <w:gridCol w:w="1298"/>
        <w:gridCol w:w="1297"/>
        <w:gridCol w:w="1297"/>
        <w:gridCol w:w="1297"/>
        <w:gridCol w:w="1297"/>
      </w:tblGrid>
      <w:tr w:rsidR="009B72E9" w:rsidRPr="009B72E9" w:rsidTr="00EF2C4C">
        <w:trPr>
          <w:trHeight w:val="345"/>
          <w:tblCellSpacing w:w="0" w:type="dxa"/>
          <w:jc w:val="center"/>
        </w:trPr>
        <w:tc>
          <w:tcPr>
            <w:tcW w:w="1003" w:type="pct"/>
            <w:shd w:val="clear" w:color="auto" w:fill="C2D69B" w:themeFill="accent3" w:themeFillTint="99"/>
            <w:vAlign w:val="center"/>
            <w:hideMark/>
          </w:tcPr>
          <w:p w:rsidR="009B72E9" w:rsidRPr="009B72E9" w:rsidRDefault="009B72E9" w:rsidP="009B72E9">
            <w:pPr>
              <w:spacing w:line="240" w:lineRule="auto"/>
              <w:rPr>
                <w:sz w:val="20"/>
                <w:szCs w:val="20"/>
              </w:rPr>
            </w:pPr>
            <w:r w:rsidRPr="009B72E9">
              <w:rPr>
                <w:sz w:val="20"/>
                <w:szCs w:val="20"/>
              </w:rPr>
              <w:t> 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9B72E9" w:rsidRDefault="009B72E9" w:rsidP="009B72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72E9">
              <w:rPr>
                <w:sz w:val="20"/>
                <w:szCs w:val="20"/>
              </w:rPr>
              <w:t>Stan na 31.12.2016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5E5871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E5871">
              <w:rPr>
                <w:sz w:val="16"/>
                <w:szCs w:val="16"/>
              </w:rPr>
              <w:t>przyrost</w:t>
            </w:r>
            <w:proofErr w:type="gramEnd"/>
            <w:r w:rsidRPr="005E5871">
              <w:rPr>
                <w:sz w:val="16"/>
                <w:szCs w:val="16"/>
              </w:rPr>
              <w:t xml:space="preserve"> o (+), spadek o (-)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9B72E9" w:rsidRDefault="009B72E9" w:rsidP="009B72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72E9">
              <w:rPr>
                <w:sz w:val="20"/>
                <w:szCs w:val="20"/>
              </w:rPr>
              <w:t>Stan na 31.12.2017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5E5871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E5871">
              <w:rPr>
                <w:sz w:val="16"/>
                <w:szCs w:val="16"/>
              </w:rPr>
              <w:t>przyrost</w:t>
            </w:r>
            <w:proofErr w:type="gramEnd"/>
            <w:r w:rsidRPr="005E5871">
              <w:rPr>
                <w:sz w:val="16"/>
                <w:szCs w:val="16"/>
              </w:rPr>
              <w:t xml:space="preserve"> o (+), spadek o (-)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9B72E9" w:rsidRDefault="009B72E9" w:rsidP="009B72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72E9">
              <w:rPr>
                <w:sz w:val="20"/>
                <w:szCs w:val="20"/>
              </w:rPr>
              <w:t>Stan na 31.12.2018</w:t>
            </w:r>
          </w:p>
        </w:tc>
        <w:tc>
          <w:tcPr>
            <w:tcW w:w="666" w:type="pct"/>
            <w:shd w:val="clear" w:color="auto" w:fill="C2D69B" w:themeFill="accent3" w:themeFillTint="99"/>
            <w:vAlign w:val="center"/>
            <w:hideMark/>
          </w:tcPr>
          <w:p w:rsidR="009B72E9" w:rsidRPr="005E5871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E5871">
              <w:rPr>
                <w:sz w:val="16"/>
                <w:szCs w:val="16"/>
              </w:rPr>
              <w:t>przyrost</w:t>
            </w:r>
            <w:proofErr w:type="gramEnd"/>
            <w:r w:rsidRPr="005E5871">
              <w:rPr>
                <w:sz w:val="16"/>
                <w:szCs w:val="16"/>
              </w:rPr>
              <w:t xml:space="preserve"> o (+), spadek o (-)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Mieszkalne</w:t>
            </w:r>
            <w:r w:rsidR="009B72E9" w:rsidRPr="00285611">
              <w:rPr>
                <w:sz w:val="18"/>
                <w:szCs w:val="18"/>
              </w:rPr>
              <w:t xml:space="preserve"> – należność główna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15 621 639,16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-1 985 851,24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13 382 734,75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-2 238 904,41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10 826 228,80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-2 556 505,95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mieszkalne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4 964 996,74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-458 752,89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4 521 126,27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-443 870,47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4 008 969,11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-512 157,16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Użytkowe</w:t>
            </w:r>
            <w:r w:rsidR="009B72E9" w:rsidRPr="00285611">
              <w:rPr>
                <w:sz w:val="18"/>
                <w:szCs w:val="18"/>
              </w:rPr>
              <w:t xml:space="preserve"> – należność główna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1 227 463,10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43 818,50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1 341 458,76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113 995,66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1 295 877,79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-45 580,97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użytkowe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546 889,56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10 398,70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577 798,17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30 908,61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594 310,78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16 512,61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Garaże</w:t>
            </w:r>
            <w:r w:rsidR="009B72E9" w:rsidRPr="00285611">
              <w:rPr>
                <w:sz w:val="18"/>
                <w:szCs w:val="18"/>
              </w:rPr>
              <w:t xml:space="preserve"> – należność główna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25 795,18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-2 722,57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33 655,08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7 859,90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39 460,47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5 805,39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garaże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26 177,31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1 290,52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27 439,15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1 261,84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29 927,17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2 488,02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upomnienia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16 976,79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2 946,54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16 155,84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-820,95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14 132,78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-2 023,06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Rata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4 971 957,33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767 155,00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6 609 751,49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1637794,16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6 147 259,83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-462 491,66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rata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729 585,09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34 816,63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1 371 586,47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642 001,38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1 847 988,97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476 402,50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51263B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 xml:space="preserve">Program pomocy osobom zagr. </w:t>
            </w:r>
            <w:proofErr w:type="spellStart"/>
            <w:r w:rsidRPr="00285611">
              <w:rPr>
                <w:sz w:val="18"/>
                <w:szCs w:val="18"/>
              </w:rPr>
              <w:t>eks</w:t>
            </w:r>
            <w:proofErr w:type="spellEnd"/>
            <w:r w:rsidRPr="00285611">
              <w:rPr>
                <w:sz w:val="18"/>
                <w:szCs w:val="18"/>
              </w:rPr>
              <w:t>.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31 307,54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-382 448,17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-31 307,54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PPOZE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38 011,39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-311 786,59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-38 011,39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Odroczenie spłaty</w:t>
            </w:r>
            <w:r w:rsidR="009B72E9" w:rsidRPr="00285611">
              <w:rPr>
                <w:sz w:val="18"/>
                <w:szCs w:val="18"/>
              </w:rPr>
              <w:t xml:space="preserve"> – należność gł.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43 043,51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43 043,51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-43 043,51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50 431,11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50 431,11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odroczenie</w:t>
            </w:r>
            <w:proofErr w:type="gramEnd"/>
            <w:r w:rsidRPr="00285611">
              <w:rPr>
                <w:sz w:val="18"/>
                <w:szCs w:val="18"/>
              </w:rPr>
              <w:t xml:space="preserve"> spłaty – odsetki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3 126,96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3 126,96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-3 126,96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1 253,60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1 253,60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Pozew</w:t>
            </w:r>
            <w:r w:rsidR="009B72E9" w:rsidRPr="00285611">
              <w:rPr>
                <w:sz w:val="18"/>
                <w:szCs w:val="18"/>
              </w:rPr>
              <w:t xml:space="preserve"> – należność główna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4 974 771,52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1 034 000,92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4 855 423,15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-119 348,37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6 596 481,87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1 741 058,72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pozew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1 450 087,85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45 474,82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1 428 795,87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-21 291,98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1 906 813,75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478 017,88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upomnienia – pozew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3 503,90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998,05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4 235,31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731,41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6 021,80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1 786,49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51263B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Wyrok</w:t>
            </w:r>
            <w:r w:rsidR="009B72E9" w:rsidRPr="00285611">
              <w:rPr>
                <w:sz w:val="18"/>
                <w:szCs w:val="18"/>
              </w:rPr>
              <w:t xml:space="preserve"> – należność główna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42 716 240,12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4 104 505,47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46 708 302,34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3 992 062,22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49 180 650,60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2 472 348,26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odsetki</w:t>
            </w:r>
            <w:proofErr w:type="gramEnd"/>
            <w:r w:rsidRPr="00285611">
              <w:rPr>
                <w:sz w:val="18"/>
                <w:szCs w:val="18"/>
              </w:rPr>
              <w:t xml:space="preserve"> wyrok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22 594 771,57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2 278 337,21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24 526 577,18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1 931 805,61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26 873 278,94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2 346 701,76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egzekucyjne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495 837,21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31 179,96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520 282,44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24 445,23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550 854,93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30 572,49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sądowe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739 492,11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95 126,74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870 772,59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131 280,48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900 735,72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29 963,13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zastępstwa proc. w egzekucji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404 725,59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40 169,33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450 580,09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45 854,50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461 920,12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11 340,03</w:t>
            </w:r>
          </w:p>
        </w:tc>
      </w:tr>
      <w:tr w:rsidR="009B72E9" w:rsidRPr="009B72E9" w:rsidTr="00EF2C4C">
        <w:trPr>
          <w:trHeight w:val="135"/>
          <w:tblCellSpacing w:w="0" w:type="dxa"/>
          <w:jc w:val="center"/>
        </w:trPr>
        <w:tc>
          <w:tcPr>
            <w:tcW w:w="1003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 w:rsidRPr="00285611">
              <w:rPr>
                <w:sz w:val="18"/>
                <w:szCs w:val="18"/>
              </w:rPr>
              <w:t>koszty</w:t>
            </w:r>
            <w:proofErr w:type="gramEnd"/>
            <w:r w:rsidRPr="00285611">
              <w:rPr>
                <w:sz w:val="18"/>
                <w:szCs w:val="18"/>
              </w:rPr>
              <w:t xml:space="preserve"> zastępstwa procesowego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3 904 690,87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574 373,16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4 569 036,97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664 346,10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4 832 829,52</w:t>
            </w:r>
          </w:p>
        </w:tc>
        <w:tc>
          <w:tcPr>
            <w:tcW w:w="666" w:type="pct"/>
            <w:shd w:val="clear" w:color="auto" w:fill="FFFFFF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85611">
              <w:rPr>
                <w:sz w:val="18"/>
                <w:szCs w:val="18"/>
              </w:rPr>
              <w:t>263 792,55</w:t>
            </w:r>
          </w:p>
        </w:tc>
      </w:tr>
      <w:tr w:rsidR="009B72E9" w:rsidRPr="009B72E9" w:rsidTr="00EF2C4C">
        <w:trPr>
          <w:trHeight w:val="120"/>
          <w:tblCellSpacing w:w="0" w:type="dxa"/>
          <w:jc w:val="center"/>
        </w:trPr>
        <w:tc>
          <w:tcPr>
            <w:tcW w:w="1003" w:type="pct"/>
            <w:shd w:val="clear" w:color="auto" w:fill="D9D9D9"/>
            <w:vAlign w:val="center"/>
            <w:hideMark/>
          </w:tcPr>
          <w:p w:rsidR="009B72E9" w:rsidRPr="00285611" w:rsidRDefault="009B72E9" w:rsidP="009B72E9">
            <w:pPr>
              <w:spacing w:line="240" w:lineRule="auto"/>
              <w:rPr>
                <w:sz w:val="18"/>
                <w:szCs w:val="18"/>
              </w:rPr>
            </w:pPr>
            <w:r w:rsidRPr="00285611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105 531 090,40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5 969 200,56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111 815 711,92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6 284 621,52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116 165 427,66</w:t>
            </w:r>
          </w:p>
        </w:tc>
        <w:tc>
          <w:tcPr>
            <w:tcW w:w="666" w:type="pct"/>
            <w:shd w:val="clear" w:color="auto" w:fill="D9D9D9"/>
            <w:vAlign w:val="center"/>
            <w:hideMark/>
          </w:tcPr>
          <w:p w:rsidR="009B72E9" w:rsidRPr="00EF2C4C" w:rsidRDefault="009B72E9" w:rsidP="009B72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2C4C">
              <w:rPr>
                <w:b/>
                <w:bCs/>
                <w:sz w:val="16"/>
                <w:szCs w:val="16"/>
              </w:rPr>
              <w:t>4 349 715,74</w:t>
            </w:r>
          </w:p>
        </w:tc>
      </w:tr>
    </w:tbl>
    <w:p w:rsidR="00476A26" w:rsidRDefault="00476A26" w:rsidP="009E059C"/>
    <w:p w:rsidR="00285611" w:rsidRDefault="0028561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76A26" w:rsidRPr="009D1B29" w:rsidRDefault="009B72E9" w:rsidP="00052AE4">
      <w:pPr>
        <w:spacing w:after="60"/>
        <w:rPr>
          <w:b/>
          <w:sz w:val="20"/>
          <w:szCs w:val="20"/>
        </w:rPr>
      </w:pPr>
      <w:r w:rsidRPr="009D1B29">
        <w:rPr>
          <w:b/>
          <w:sz w:val="20"/>
          <w:szCs w:val="20"/>
        </w:rPr>
        <w:lastRenderedPageBreak/>
        <w:t>Tabela nr 2. Struktura zadłużenia.*</w:t>
      </w:r>
    </w:p>
    <w:tbl>
      <w:tblPr>
        <w:tblW w:w="4855" w:type="pct"/>
        <w:jc w:val="center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2"/>
        <w:gridCol w:w="1786"/>
        <w:gridCol w:w="1886"/>
        <w:gridCol w:w="1699"/>
      </w:tblGrid>
      <w:tr w:rsidR="006F1FB8" w:rsidRPr="009D1B29" w:rsidTr="00285611">
        <w:trPr>
          <w:trHeight w:val="150"/>
          <w:tblCellSpacing w:w="0" w:type="dxa"/>
          <w:jc w:val="center"/>
        </w:trPr>
        <w:tc>
          <w:tcPr>
            <w:tcW w:w="2212" w:type="pct"/>
            <w:shd w:val="clear" w:color="auto" w:fill="C2D69B" w:themeFill="accent3" w:themeFillTint="99"/>
            <w:vAlign w:val="center"/>
            <w:hideMark/>
          </w:tcPr>
          <w:p w:rsidR="009D1B29" w:rsidRPr="009D1B29" w:rsidRDefault="009D1B29" w:rsidP="009D1B29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Rodzaj zaległości</w:t>
            </w:r>
          </w:p>
          <w:p w:rsidR="009D1B29" w:rsidRPr="009D1B29" w:rsidRDefault="009D1B29" w:rsidP="009D1B29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(lokale mieszkalne i użytkowe)</w:t>
            </w:r>
          </w:p>
        </w:tc>
        <w:tc>
          <w:tcPr>
            <w:tcW w:w="927" w:type="pct"/>
            <w:shd w:val="clear" w:color="auto" w:fill="C2D69B" w:themeFill="accent3" w:themeFillTint="99"/>
            <w:vAlign w:val="center"/>
            <w:hideMark/>
          </w:tcPr>
          <w:p w:rsidR="009D1B29" w:rsidRDefault="009D1B29" w:rsidP="009D1B29">
            <w:pPr>
              <w:jc w:val="center"/>
              <w:rPr>
                <w:b/>
                <w:bCs/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 xml:space="preserve">Stan na </w:t>
            </w:r>
          </w:p>
          <w:p w:rsidR="009D1B29" w:rsidRPr="009D1B29" w:rsidRDefault="009D1B29" w:rsidP="009D1B29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 xml:space="preserve">31.12.2016 </w:t>
            </w:r>
            <w:proofErr w:type="gramStart"/>
            <w:r w:rsidRPr="009D1B29">
              <w:rPr>
                <w:b/>
                <w:bCs/>
                <w:sz w:val="20"/>
                <w:szCs w:val="20"/>
              </w:rPr>
              <w:t>r</w:t>
            </w:r>
            <w:proofErr w:type="gramEnd"/>
            <w:r w:rsidRPr="009D1B2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9" w:type="pct"/>
            <w:shd w:val="clear" w:color="auto" w:fill="C2D69B" w:themeFill="accent3" w:themeFillTint="99"/>
            <w:vAlign w:val="center"/>
            <w:hideMark/>
          </w:tcPr>
          <w:p w:rsidR="009D1B29" w:rsidRPr="009D1B29" w:rsidRDefault="009D1B29" w:rsidP="009D1B29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Stan na 31.12.2017</w:t>
            </w:r>
            <w:proofErr w:type="gramStart"/>
            <w:r w:rsidRPr="009D1B29">
              <w:rPr>
                <w:b/>
                <w:bCs/>
                <w:sz w:val="20"/>
                <w:szCs w:val="20"/>
              </w:rPr>
              <w:t>r</w:t>
            </w:r>
            <w:proofErr w:type="gramEnd"/>
            <w:r w:rsidRPr="009D1B2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2" w:type="pct"/>
            <w:shd w:val="clear" w:color="auto" w:fill="C2D69B" w:themeFill="accent3" w:themeFillTint="99"/>
            <w:vAlign w:val="center"/>
            <w:hideMark/>
          </w:tcPr>
          <w:p w:rsidR="009D1B29" w:rsidRPr="009D1B29" w:rsidRDefault="009D1B29" w:rsidP="009D1B29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Stan na 31.12.2018</w:t>
            </w:r>
            <w:proofErr w:type="gramStart"/>
            <w:r w:rsidRPr="009D1B29">
              <w:rPr>
                <w:b/>
                <w:bCs/>
                <w:sz w:val="20"/>
                <w:szCs w:val="20"/>
              </w:rPr>
              <w:t>r</w:t>
            </w:r>
            <w:proofErr w:type="gramEnd"/>
            <w:r w:rsidRPr="009D1B2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F1FB8" w:rsidRPr="009D1B29" w:rsidTr="006F1FB8">
        <w:trPr>
          <w:trHeight w:val="165"/>
          <w:tblCellSpacing w:w="0" w:type="dxa"/>
          <w:jc w:val="center"/>
        </w:trPr>
        <w:tc>
          <w:tcPr>
            <w:tcW w:w="2212" w:type="pct"/>
            <w:vAlign w:val="center"/>
            <w:hideMark/>
          </w:tcPr>
          <w:p w:rsidR="009D1B29" w:rsidRPr="009D1B29" w:rsidRDefault="009D1B29" w:rsidP="009D1B29">
            <w:pPr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Zaległości nieobjęte postępowaniem sądowym</w:t>
            </w:r>
          </w:p>
        </w:tc>
        <w:tc>
          <w:tcPr>
            <w:tcW w:w="927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22 429 937,84</w:t>
            </w:r>
          </w:p>
        </w:tc>
        <w:tc>
          <w:tcPr>
            <w:tcW w:w="979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19 900 368,02</w:t>
            </w:r>
          </w:p>
        </w:tc>
        <w:tc>
          <w:tcPr>
            <w:tcW w:w="882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16 808 906,90</w:t>
            </w:r>
          </w:p>
        </w:tc>
      </w:tr>
      <w:tr w:rsidR="006F1FB8" w:rsidRPr="009D1B29" w:rsidTr="006F1FB8">
        <w:trPr>
          <w:trHeight w:val="165"/>
          <w:tblCellSpacing w:w="0" w:type="dxa"/>
          <w:jc w:val="center"/>
        </w:trPr>
        <w:tc>
          <w:tcPr>
            <w:tcW w:w="2212" w:type="pct"/>
            <w:vAlign w:val="center"/>
            <w:hideMark/>
          </w:tcPr>
          <w:p w:rsidR="009D1B29" w:rsidRPr="009D1B29" w:rsidRDefault="009D1B29" w:rsidP="009D1B29">
            <w:pPr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 xml:space="preserve">Zaległości objęte porozumieniami </w:t>
            </w:r>
            <w:r w:rsidRPr="009D1B29">
              <w:rPr>
                <w:sz w:val="20"/>
                <w:szCs w:val="20"/>
              </w:rPr>
              <w:br/>
              <w:t>(raty + „Program oddłużeniowy”)</w:t>
            </w:r>
          </w:p>
        </w:tc>
        <w:tc>
          <w:tcPr>
            <w:tcW w:w="927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5 817 031,82</w:t>
            </w:r>
          </w:p>
        </w:tc>
        <w:tc>
          <w:tcPr>
            <w:tcW w:w="979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7 981 337,96</w:t>
            </w:r>
          </w:p>
        </w:tc>
        <w:tc>
          <w:tcPr>
            <w:tcW w:w="882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8 046 933,51</w:t>
            </w:r>
          </w:p>
        </w:tc>
      </w:tr>
      <w:tr w:rsidR="006F1FB8" w:rsidRPr="009D1B29" w:rsidTr="006F1FB8">
        <w:trPr>
          <w:trHeight w:val="165"/>
          <w:tblCellSpacing w:w="0" w:type="dxa"/>
          <w:jc w:val="center"/>
        </w:trPr>
        <w:tc>
          <w:tcPr>
            <w:tcW w:w="2212" w:type="pct"/>
            <w:vAlign w:val="center"/>
            <w:hideMark/>
          </w:tcPr>
          <w:p w:rsidR="009D1B29" w:rsidRPr="009D1B29" w:rsidRDefault="009D1B29" w:rsidP="009D1B29">
            <w:pPr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Zaległości objęte postępowaniem sądowym</w:t>
            </w:r>
          </w:p>
        </w:tc>
        <w:tc>
          <w:tcPr>
            <w:tcW w:w="927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77 284 120,74</w:t>
            </w:r>
          </w:p>
        </w:tc>
        <w:tc>
          <w:tcPr>
            <w:tcW w:w="979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83 934 005,94</w:t>
            </w:r>
          </w:p>
        </w:tc>
        <w:tc>
          <w:tcPr>
            <w:tcW w:w="882" w:type="pct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sz w:val="20"/>
                <w:szCs w:val="20"/>
              </w:rPr>
              <w:t>91 309 587,25</w:t>
            </w:r>
          </w:p>
        </w:tc>
      </w:tr>
      <w:tr w:rsidR="006F1FB8" w:rsidRPr="009D1B29" w:rsidTr="006F1FB8">
        <w:trPr>
          <w:trHeight w:val="150"/>
          <w:tblCellSpacing w:w="0" w:type="dxa"/>
          <w:jc w:val="center"/>
        </w:trPr>
        <w:tc>
          <w:tcPr>
            <w:tcW w:w="2212" w:type="pct"/>
            <w:shd w:val="clear" w:color="auto" w:fill="D9D9D9"/>
            <w:vAlign w:val="center"/>
            <w:hideMark/>
          </w:tcPr>
          <w:p w:rsidR="009D1B29" w:rsidRPr="009D1B29" w:rsidRDefault="009D1B29" w:rsidP="009D1B29">
            <w:pPr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27" w:type="pct"/>
            <w:shd w:val="clear" w:color="auto" w:fill="D9D9D9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105 531 090,40</w:t>
            </w:r>
          </w:p>
        </w:tc>
        <w:tc>
          <w:tcPr>
            <w:tcW w:w="979" w:type="pct"/>
            <w:shd w:val="clear" w:color="auto" w:fill="D9D9D9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111 815 711,92</w:t>
            </w:r>
          </w:p>
        </w:tc>
        <w:tc>
          <w:tcPr>
            <w:tcW w:w="882" w:type="pct"/>
            <w:shd w:val="clear" w:color="auto" w:fill="D9D9D9"/>
            <w:vAlign w:val="center"/>
            <w:hideMark/>
          </w:tcPr>
          <w:p w:rsidR="009D1B29" w:rsidRPr="009D1B29" w:rsidRDefault="009D1B29" w:rsidP="006F1FB8">
            <w:pPr>
              <w:jc w:val="center"/>
              <w:rPr>
                <w:sz w:val="20"/>
                <w:szCs w:val="20"/>
              </w:rPr>
            </w:pPr>
            <w:r w:rsidRPr="009D1B29">
              <w:rPr>
                <w:b/>
                <w:bCs/>
                <w:sz w:val="20"/>
                <w:szCs w:val="20"/>
              </w:rPr>
              <w:t>116 165 427,66</w:t>
            </w:r>
          </w:p>
        </w:tc>
      </w:tr>
    </w:tbl>
    <w:p w:rsidR="00476A26" w:rsidRPr="009D1B29" w:rsidRDefault="009D1B29" w:rsidP="009D1B29">
      <w:pPr>
        <w:tabs>
          <w:tab w:val="left" w:pos="284"/>
        </w:tabs>
        <w:spacing w:before="60"/>
        <w:ind w:left="284" w:hanging="284"/>
        <w:jc w:val="both"/>
        <w:rPr>
          <w:sz w:val="20"/>
          <w:szCs w:val="20"/>
        </w:rPr>
      </w:pPr>
      <w:r w:rsidRPr="009D1B29">
        <w:rPr>
          <w:sz w:val="20"/>
          <w:szCs w:val="20"/>
        </w:rPr>
        <w:t>*</w:t>
      </w:r>
      <w:r w:rsidRPr="009D1B29">
        <w:rPr>
          <w:sz w:val="20"/>
          <w:szCs w:val="20"/>
        </w:rPr>
        <w:tab/>
        <w:t>Zaległości obejmują: zaległości z tytułu najmu lokali (lokale mieszkalne, użytkowe, garaże) wchodzących w skład mieszkaniowego zasobu Gminy Sosnowiec.</w:t>
      </w:r>
    </w:p>
    <w:p w:rsidR="00476A26" w:rsidRDefault="00476A26" w:rsidP="009E059C"/>
    <w:p w:rsidR="009D1B29" w:rsidRPr="009D1B29" w:rsidRDefault="009D1B29" w:rsidP="009D1B29">
      <w:pPr>
        <w:rPr>
          <w:b/>
          <w:sz w:val="20"/>
          <w:szCs w:val="20"/>
        </w:rPr>
      </w:pPr>
      <w:r w:rsidRPr="009D1B29">
        <w:rPr>
          <w:b/>
          <w:sz w:val="20"/>
          <w:szCs w:val="20"/>
        </w:rPr>
        <w:t>Rys. nr 1. Struktura zadłużenia w rozbiciu procentowym w 2018</w:t>
      </w:r>
      <w:r w:rsidR="003D4F94">
        <w:rPr>
          <w:b/>
          <w:sz w:val="20"/>
          <w:szCs w:val="20"/>
        </w:rPr>
        <w:t xml:space="preserve"> </w:t>
      </w:r>
      <w:r w:rsidRPr="009D1B29">
        <w:rPr>
          <w:b/>
          <w:sz w:val="20"/>
          <w:szCs w:val="20"/>
        </w:rPr>
        <w:t xml:space="preserve">r. </w:t>
      </w:r>
    </w:p>
    <w:p w:rsidR="009D1B29" w:rsidRDefault="003D4F94" w:rsidP="009D1B29">
      <w:r w:rsidRPr="00285611">
        <w:drawing>
          <wp:anchor distT="0" distB="0" distL="114300" distR="114300" simplePos="0" relativeHeight="251660288" behindDoc="0" locked="0" layoutInCell="1" allowOverlap="1" wp14:anchorId="4064B8B5" wp14:editId="730EC288">
            <wp:simplePos x="0" y="0"/>
            <wp:positionH relativeFrom="column">
              <wp:posOffset>549010</wp:posOffset>
            </wp:positionH>
            <wp:positionV relativeFrom="paragraph">
              <wp:posOffset>102690</wp:posOffset>
            </wp:positionV>
            <wp:extent cx="5058832" cy="21569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32" cy="21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611" w:rsidRDefault="00285611" w:rsidP="009D1B29"/>
    <w:p w:rsidR="00285611" w:rsidRDefault="00285611" w:rsidP="009D1B29"/>
    <w:p w:rsidR="003D4F94" w:rsidRDefault="003D4F94" w:rsidP="009D1B29"/>
    <w:p w:rsidR="003D4F94" w:rsidRDefault="003D4F94" w:rsidP="009D1B29"/>
    <w:p w:rsidR="003D4F94" w:rsidRDefault="003D4F94" w:rsidP="009D1B29"/>
    <w:p w:rsidR="003D4F94" w:rsidRDefault="003D4F94" w:rsidP="009D1B29"/>
    <w:p w:rsidR="003D4F94" w:rsidRDefault="003D4F94" w:rsidP="009D1B29"/>
    <w:p w:rsidR="00285611" w:rsidRDefault="00285611" w:rsidP="009D1B29"/>
    <w:p w:rsidR="00285611" w:rsidRDefault="00285611" w:rsidP="009D1B29"/>
    <w:p w:rsidR="00285611" w:rsidRDefault="00285611" w:rsidP="009D1B29"/>
    <w:p w:rsidR="00285611" w:rsidRDefault="00285611" w:rsidP="009D1B29"/>
    <w:p w:rsidR="009D1B29" w:rsidRDefault="009D1B29" w:rsidP="003D4F94">
      <w:pPr>
        <w:jc w:val="both"/>
      </w:pPr>
      <w:r>
        <w:t>Zadłużenia nieobjęte postępowaniem sądowym (należności bieżące) maleją z roku na rok, wrasta natomiast ogólna kwota zadłużenia, poprzez wzrost kosztów dochodzenia należności (odsetki, koszty sądowe, koszty zastępstwa procesowego, koszty postępowania egzekucyjnego).</w:t>
      </w:r>
    </w:p>
    <w:p w:rsidR="009D1B29" w:rsidRDefault="009D1B29" w:rsidP="009D1B29"/>
    <w:p w:rsidR="00FD0076" w:rsidRDefault="009D1B29" w:rsidP="006F1FB8">
      <w:pPr>
        <w:spacing w:after="60"/>
        <w:rPr>
          <w:b/>
          <w:sz w:val="20"/>
          <w:szCs w:val="20"/>
        </w:rPr>
      </w:pPr>
      <w:r w:rsidRPr="006F1FB8">
        <w:rPr>
          <w:b/>
          <w:sz w:val="20"/>
          <w:szCs w:val="20"/>
        </w:rPr>
        <w:t>Tabela nr 3. Przyrost zadłużenia w danym okresie w porównaniu do okresów poprzednich.</w:t>
      </w:r>
    </w:p>
    <w:tbl>
      <w:tblPr>
        <w:tblW w:w="80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1"/>
        <w:gridCol w:w="2856"/>
        <w:gridCol w:w="2393"/>
      </w:tblGrid>
      <w:tr w:rsidR="006F1FB8" w:rsidRPr="006F1FB8" w:rsidTr="003D4F94">
        <w:trPr>
          <w:trHeight w:val="632"/>
          <w:tblCellSpacing w:w="0" w:type="dxa"/>
          <w:jc w:val="center"/>
        </w:trPr>
        <w:tc>
          <w:tcPr>
            <w:tcW w:w="2595" w:type="dxa"/>
            <w:shd w:val="clear" w:color="auto" w:fill="C2D69B" w:themeFill="accent3" w:themeFillTint="99"/>
            <w:vAlign w:val="center"/>
            <w:hideMark/>
          </w:tcPr>
          <w:p w:rsidR="006F1FB8" w:rsidRPr="003D4F94" w:rsidRDefault="00285611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b/>
                <w:bCs/>
                <w:sz w:val="18"/>
                <w:szCs w:val="18"/>
              </w:rPr>
              <w:t>B</w:t>
            </w:r>
            <w:r w:rsidR="006F1FB8" w:rsidRPr="003D4F94">
              <w:rPr>
                <w:b/>
                <w:bCs/>
                <w:sz w:val="18"/>
                <w:szCs w:val="18"/>
              </w:rPr>
              <w:t>adany okres</w:t>
            </w:r>
          </w:p>
        </w:tc>
        <w:tc>
          <w:tcPr>
            <w:tcW w:w="2685" w:type="dxa"/>
            <w:shd w:val="clear" w:color="auto" w:fill="C2D69B" w:themeFill="accent3" w:themeFillTint="99"/>
            <w:vAlign w:val="center"/>
            <w:hideMark/>
          </w:tcPr>
          <w:p w:rsidR="006F1FB8" w:rsidRPr="003D4F94" w:rsidRDefault="00285611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b/>
                <w:bCs/>
                <w:sz w:val="18"/>
                <w:szCs w:val="18"/>
              </w:rPr>
              <w:t>P</w:t>
            </w:r>
            <w:r w:rsidR="006F1FB8" w:rsidRPr="003D4F94">
              <w:rPr>
                <w:b/>
                <w:bCs/>
                <w:sz w:val="18"/>
                <w:szCs w:val="18"/>
              </w:rPr>
              <w:t xml:space="preserve">rzyrost zadłużenia </w:t>
            </w:r>
            <w:r w:rsidR="006F1FB8" w:rsidRPr="003D4F94">
              <w:rPr>
                <w:b/>
                <w:bCs/>
                <w:sz w:val="18"/>
                <w:szCs w:val="18"/>
              </w:rPr>
              <w:br/>
              <w:t>w stosunku do poprzedniego okresu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  <w:hideMark/>
          </w:tcPr>
          <w:p w:rsidR="006F1FB8" w:rsidRPr="003D4F94" w:rsidRDefault="00285611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b/>
                <w:bCs/>
                <w:sz w:val="18"/>
                <w:szCs w:val="18"/>
              </w:rPr>
              <w:t>Ś</w:t>
            </w:r>
            <w:r w:rsidR="006F1FB8" w:rsidRPr="003D4F94">
              <w:rPr>
                <w:b/>
                <w:bCs/>
                <w:sz w:val="18"/>
                <w:szCs w:val="18"/>
              </w:rPr>
              <w:t>redni miesięczny przyrost zadłużenia</w:t>
            </w:r>
          </w:p>
        </w:tc>
      </w:tr>
      <w:tr w:rsidR="006F1FB8" w:rsidRPr="006F1FB8" w:rsidTr="006F1FB8">
        <w:trPr>
          <w:trHeight w:val="39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 xml:space="preserve">Rok 2014 w stosunku do stanu na dzień 31.12.2013 </w:t>
            </w:r>
            <w:proofErr w:type="gramStart"/>
            <w:r w:rsidRPr="003D4F94">
              <w:rPr>
                <w:sz w:val="18"/>
                <w:szCs w:val="18"/>
              </w:rPr>
              <w:t>r</w:t>
            </w:r>
            <w:proofErr w:type="gramEnd"/>
            <w:r w:rsidRPr="003D4F94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10 176 351,17 zł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848 029,26 zł</w:t>
            </w:r>
          </w:p>
        </w:tc>
      </w:tr>
      <w:tr w:rsidR="006F1FB8" w:rsidRPr="006F1FB8" w:rsidTr="006F1FB8">
        <w:trPr>
          <w:trHeight w:val="39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 xml:space="preserve">Rok 2015 w stosunku do stanu na dzień 31.12.2014 </w:t>
            </w:r>
            <w:proofErr w:type="gramStart"/>
            <w:r w:rsidRPr="003D4F94">
              <w:rPr>
                <w:sz w:val="18"/>
                <w:szCs w:val="18"/>
              </w:rPr>
              <w:t>r</w:t>
            </w:r>
            <w:proofErr w:type="gramEnd"/>
            <w:r w:rsidRPr="003D4F94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8 883 658,54 zł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740 304,88 zł</w:t>
            </w:r>
          </w:p>
        </w:tc>
      </w:tr>
      <w:tr w:rsidR="006F1FB8" w:rsidRPr="006F1FB8" w:rsidTr="006F1FB8">
        <w:trPr>
          <w:trHeight w:val="39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 xml:space="preserve">Rok 2016 w stosunku do stanu na dzień 31.12.2015 </w:t>
            </w:r>
            <w:proofErr w:type="gramStart"/>
            <w:r w:rsidRPr="003D4F94">
              <w:rPr>
                <w:sz w:val="18"/>
                <w:szCs w:val="18"/>
              </w:rPr>
              <w:t>r</w:t>
            </w:r>
            <w:proofErr w:type="gramEnd"/>
            <w:r w:rsidRPr="003D4F94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5 969 200,56 zł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497 433,38 zł</w:t>
            </w:r>
          </w:p>
        </w:tc>
      </w:tr>
      <w:tr w:rsidR="006F1FB8" w:rsidRPr="006F1FB8" w:rsidTr="006F1FB8">
        <w:trPr>
          <w:trHeight w:val="390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 xml:space="preserve">Rok 2017 w stosunku do stanu na dzień 31.12.2016 </w:t>
            </w:r>
            <w:proofErr w:type="gramStart"/>
            <w:r w:rsidRPr="003D4F94">
              <w:rPr>
                <w:sz w:val="18"/>
                <w:szCs w:val="18"/>
              </w:rPr>
              <w:t>r</w:t>
            </w:r>
            <w:proofErr w:type="gramEnd"/>
            <w:r w:rsidRPr="003D4F94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6</w:t>
            </w:r>
            <w:r w:rsidR="00D46476" w:rsidRPr="003D4F94">
              <w:rPr>
                <w:sz w:val="18"/>
                <w:szCs w:val="18"/>
              </w:rPr>
              <w:t> </w:t>
            </w:r>
            <w:r w:rsidRPr="003D4F94">
              <w:rPr>
                <w:sz w:val="18"/>
                <w:szCs w:val="18"/>
              </w:rPr>
              <w:t>284</w:t>
            </w:r>
            <w:r w:rsidR="00D46476" w:rsidRPr="003D4F94">
              <w:rPr>
                <w:sz w:val="18"/>
                <w:szCs w:val="18"/>
              </w:rPr>
              <w:t> </w:t>
            </w:r>
            <w:r w:rsidRPr="003D4F94">
              <w:rPr>
                <w:sz w:val="18"/>
                <w:szCs w:val="18"/>
              </w:rPr>
              <w:t>621,52 zł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523</w:t>
            </w:r>
            <w:r w:rsidR="00D46476" w:rsidRPr="003D4F94">
              <w:rPr>
                <w:sz w:val="18"/>
                <w:szCs w:val="18"/>
              </w:rPr>
              <w:t> </w:t>
            </w:r>
            <w:r w:rsidRPr="003D4F94">
              <w:rPr>
                <w:sz w:val="18"/>
                <w:szCs w:val="18"/>
              </w:rPr>
              <w:t>718,46 zł</w:t>
            </w:r>
          </w:p>
        </w:tc>
      </w:tr>
      <w:tr w:rsidR="006F1FB8" w:rsidRPr="006F1FB8" w:rsidTr="006F1FB8">
        <w:trPr>
          <w:trHeight w:val="375"/>
          <w:tblCellSpacing w:w="0" w:type="dxa"/>
          <w:jc w:val="center"/>
        </w:trPr>
        <w:tc>
          <w:tcPr>
            <w:tcW w:w="259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 xml:space="preserve">Rok 2018 w stosunku do stanu na dzień 31.12.2017 </w:t>
            </w:r>
            <w:proofErr w:type="gramStart"/>
            <w:r w:rsidRPr="003D4F94">
              <w:rPr>
                <w:sz w:val="18"/>
                <w:szCs w:val="18"/>
              </w:rPr>
              <w:t>r</w:t>
            </w:r>
            <w:proofErr w:type="gramEnd"/>
            <w:r w:rsidRPr="003D4F94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4</w:t>
            </w:r>
            <w:r w:rsidR="00D46476" w:rsidRPr="003D4F94">
              <w:rPr>
                <w:sz w:val="18"/>
                <w:szCs w:val="18"/>
              </w:rPr>
              <w:t> </w:t>
            </w:r>
            <w:r w:rsidRPr="003D4F94">
              <w:rPr>
                <w:sz w:val="18"/>
                <w:szCs w:val="18"/>
              </w:rPr>
              <w:t>349</w:t>
            </w:r>
            <w:r w:rsidR="00D46476" w:rsidRPr="003D4F94">
              <w:rPr>
                <w:sz w:val="18"/>
                <w:szCs w:val="18"/>
              </w:rPr>
              <w:t> </w:t>
            </w:r>
            <w:r w:rsidRPr="003D4F94">
              <w:rPr>
                <w:sz w:val="18"/>
                <w:szCs w:val="18"/>
              </w:rPr>
              <w:t>715,74 zł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6F1FB8" w:rsidRPr="003D4F94" w:rsidRDefault="006F1FB8" w:rsidP="003D4F9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4F94">
              <w:rPr>
                <w:sz w:val="18"/>
                <w:szCs w:val="18"/>
              </w:rPr>
              <w:t>362 476,31 zł</w:t>
            </w:r>
          </w:p>
        </w:tc>
      </w:tr>
    </w:tbl>
    <w:p w:rsidR="00D46476" w:rsidRDefault="00D46476" w:rsidP="003D4F94">
      <w:pPr>
        <w:jc w:val="both"/>
      </w:pPr>
      <w:r>
        <w:lastRenderedPageBreak/>
        <w:t>Analiza danych dotyczących rocznego i średnio miesięcznego przyrostu zadłużenia w odniesieniu do poprzednich lat wskazuje tendencję malejącą. W 2018 r. odnotowano spadek przyrostu zadłużenia w stosunku do roku poprzedniego o kwotę 1 934 905,78 zł.</w:t>
      </w:r>
    </w:p>
    <w:p w:rsidR="006F1FB8" w:rsidRDefault="00D46476" w:rsidP="003D4F94">
      <w:pPr>
        <w:jc w:val="both"/>
      </w:pPr>
      <w:r>
        <w:t xml:space="preserve">Tendencja zmniejszenia przyrostu zadłużenia jednak utrzymuje się nieprzerwanie od 2014r. Największy spadek przyrostu zadłużenia odnotowany został na koniec 2016 r. Zmniejszenie przyrostu zadłużenia wyniosło wtedy 2.914.457,98 </w:t>
      </w:r>
      <w:proofErr w:type="gramStart"/>
      <w:r>
        <w:t>zł</w:t>
      </w:r>
      <w:proofErr w:type="gramEnd"/>
      <w:r>
        <w:t>. MZZL kontynuuje działania związane ze zwiększeniem efektywności procesu windykacji. Jednym z priorytetowych zadań w zakresie restrukturyzacji zadłużenia jest podejmowanie wszelkich działań mających na celu zapobieżenie wystąpieniu zagrożenia przedawnienia roszczeń. Cały system monitorowania wierzytelności ma na celu zintensyfikowanie działań w przypadku dochodzenia należności na etapie przedsądowym i ograniczenie narastania należności bieżących.</w:t>
      </w:r>
    </w:p>
    <w:p w:rsidR="006F1FB8" w:rsidRDefault="006F1FB8" w:rsidP="006F1FB8"/>
    <w:p w:rsidR="006F1FB8" w:rsidRPr="00033191" w:rsidRDefault="00033191" w:rsidP="00033191">
      <w:pPr>
        <w:spacing w:after="60"/>
        <w:rPr>
          <w:b/>
          <w:sz w:val="20"/>
          <w:szCs w:val="20"/>
        </w:rPr>
      </w:pPr>
      <w:r w:rsidRPr="00033191">
        <w:rPr>
          <w:b/>
          <w:sz w:val="20"/>
          <w:szCs w:val="20"/>
        </w:rPr>
        <w:t>Tabela nr 4. Ilość osób zadłużonych z lokali mieszkalnych</w:t>
      </w:r>
      <w:r>
        <w:rPr>
          <w:b/>
          <w:sz w:val="20"/>
          <w:szCs w:val="20"/>
        </w:rPr>
        <w:t xml:space="preserve"> w latach 2016-2017</w:t>
      </w:r>
      <w:r w:rsidRPr="00033191">
        <w:rPr>
          <w:b/>
          <w:sz w:val="20"/>
          <w:szCs w:val="20"/>
        </w:rPr>
        <w:t>.</w:t>
      </w:r>
    </w:p>
    <w:tbl>
      <w:tblPr>
        <w:tblW w:w="55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9"/>
        <w:gridCol w:w="1895"/>
        <w:gridCol w:w="1731"/>
      </w:tblGrid>
      <w:tr w:rsidR="00033191" w:rsidRPr="00033191" w:rsidTr="00D462B7">
        <w:trPr>
          <w:trHeight w:val="120"/>
          <w:tblCellSpacing w:w="0" w:type="dxa"/>
          <w:jc w:val="center"/>
        </w:trPr>
        <w:tc>
          <w:tcPr>
            <w:tcW w:w="1710" w:type="dxa"/>
            <w:shd w:val="clear" w:color="auto" w:fill="C2D69B" w:themeFill="accent3" w:themeFillTint="99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25" w:type="dxa"/>
            <w:shd w:val="clear" w:color="auto" w:fill="C2D69B" w:themeFill="accent3" w:themeFillTint="99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33191" w:rsidRPr="00033191" w:rsidTr="00033191">
        <w:trPr>
          <w:trHeight w:val="120"/>
          <w:tblCellSpacing w:w="0" w:type="dxa"/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sz w:val="20"/>
                <w:szCs w:val="20"/>
              </w:rPr>
              <w:t>6820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sz w:val="20"/>
                <w:szCs w:val="20"/>
              </w:rPr>
              <w:t>6793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033191" w:rsidRPr="0019137B" w:rsidRDefault="00033191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137B">
              <w:rPr>
                <w:sz w:val="20"/>
                <w:szCs w:val="20"/>
              </w:rPr>
              <w:t>6169</w:t>
            </w:r>
          </w:p>
        </w:tc>
      </w:tr>
    </w:tbl>
    <w:p w:rsidR="006F1FB8" w:rsidRDefault="006F1FB8" w:rsidP="006F1FB8"/>
    <w:p w:rsidR="006F1FB8" w:rsidRPr="00033191" w:rsidRDefault="00033191" w:rsidP="00033191">
      <w:pPr>
        <w:spacing w:after="60"/>
        <w:rPr>
          <w:b/>
          <w:sz w:val="20"/>
          <w:szCs w:val="20"/>
        </w:rPr>
      </w:pPr>
      <w:r w:rsidRPr="00033191">
        <w:rPr>
          <w:b/>
          <w:sz w:val="20"/>
          <w:szCs w:val="20"/>
        </w:rPr>
        <w:t>Tabela nr 5. Ilość osób zadłużonych z lokali użytkowych.</w:t>
      </w:r>
    </w:p>
    <w:tbl>
      <w:tblPr>
        <w:tblW w:w="55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9"/>
        <w:gridCol w:w="1895"/>
        <w:gridCol w:w="1731"/>
      </w:tblGrid>
      <w:tr w:rsidR="0019137B" w:rsidRPr="0019137B" w:rsidTr="00D462B7">
        <w:trPr>
          <w:trHeight w:val="120"/>
          <w:tblCellSpacing w:w="0" w:type="dxa"/>
          <w:jc w:val="center"/>
        </w:trPr>
        <w:tc>
          <w:tcPr>
            <w:tcW w:w="1710" w:type="dxa"/>
            <w:shd w:val="clear" w:color="auto" w:fill="C2D69B" w:themeFill="accent3" w:themeFillTint="99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rPr>
                <w:b/>
                <w:bCs/>
              </w:rPr>
              <w:t>2016</w:t>
            </w:r>
          </w:p>
        </w:tc>
        <w:tc>
          <w:tcPr>
            <w:tcW w:w="1725" w:type="dxa"/>
            <w:shd w:val="clear" w:color="auto" w:fill="C2D69B" w:themeFill="accent3" w:themeFillTint="99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rPr>
                <w:b/>
                <w:bCs/>
              </w:rPr>
              <w:t>2017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rPr>
                <w:b/>
                <w:bCs/>
              </w:rPr>
              <w:t>2018</w:t>
            </w:r>
          </w:p>
        </w:tc>
      </w:tr>
      <w:tr w:rsidR="0019137B" w:rsidRPr="0019137B" w:rsidTr="0019137B">
        <w:trPr>
          <w:trHeight w:val="120"/>
          <w:tblCellSpacing w:w="0" w:type="dxa"/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t>567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t>603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19137B" w:rsidRPr="0019137B" w:rsidRDefault="0019137B" w:rsidP="00D462B7">
            <w:pPr>
              <w:spacing w:line="240" w:lineRule="auto"/>
              <w:jc w:val="center"/>
            </w:pPr>
            <w:r w:rsidRPr="0019137B">
              <w:t>567</w:t>
            </w:r>
          </w:p>
        </w:tc>
      </w:tr>
    </w:tbl>
    <w:p w:rsidR="006F1FB8" w:rsidRDefault="006F1FB8" w:rsidP="006F1FB8"/>
    <w:p w:rsidR="006F1FB8" w:rsidRPr="0019137B" w:rsidRDefault="0019137B" w:rsidP="0019137B">
      <w:pPr>
        <w:spacing w:after="60"/>
        <w:rPr>
          <w:b/>
          <w:sz w:val="20"/>
          <w:szCs w:val="20"/>
        </w:rPr>
      </w:pPr>
      <w:r w:rsidRPr="0019137B">
        <w:rPr>
          <w:b/>
          <w:sz w:val="20"/>
          <w:szCs w:val="20"/>
        </w:rPr>
        <w:t>Tabela nr 6. Ilość kont finansowych z zadłużeniem.</w:t>
      </w:r>
    </w:p>
    <w:tbl>
      <w:tblPr>
        <w:tblW w:w="9639" w:type="dxa"/>
        <w:jc w:val="center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8"/>
        <w:gridCol w:w="16"/>
        <w:gridCol w:w="1451"/>
        <w:gridCol w:w="13"/>
        <w:gridCol w:w="1465"/>
        <w:gridCol w:w="1467"/>
        <w:gridCol w:w="1469"/>
      </w:tblGrid>
      <w:tr w:rsidR="0019137B" w:rsidRPr="0019137B" w:rsidTr="00D462B7">
        <w:trPr>
          <w:trHeight w:val="336"/>
          <w:tblCellSpacing w:w="0" w:type="dxa"/>
          <w:jc w:val="center"/>
        </w:trPr>
        <w:tc>
          <w:tcPr>
            <w:tcW w:w="3776" w:type="dxa"/>
            <w:gridSpan w:val="2"/>
            <w:shd w:val="clear" w:color="auto" w:fill="C2D69B" w:themeFill="accent3" w:themeFillTint="99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b/>
                <w:bCs/>
                <w:sz w:val="20"/>
                <w:szCs w:val="20"/>
              </w:rPr>
              <w:t>Lokale mieszkalne</w:t>
            </w:r>
          </w:p>
        </w:tc>
        <w:tc>
          <w:tcPr>
            <w:tcW w:w="1465" w:type="dxa"/>
            <w:gridSpan w:val="2"/>
            <w:shd w:val="clear" w:color="auto" w:fill="C2D69B" w:themeFill="accent3" w:themeFillTint="99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66" w:type="dxa"/>
            <w:shd w:val="clear" w:color="auto" w:fill="C2D69B" w:themeFill="accent3" w:themeFillTint="99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66" w:type="dxa"/>
            <w:shd w:val="clear" w:color="auto" w:fill="C2D69B" w:themeFill="accent3" w:themeFillTint="99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66" w:type="dxa"/>
            <w:shd w:val="clear" w:color="auto" w:fill="C2D69B" w:themeFill="accent3" w:themeFillTint="99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b/>
                <w:bCs/>
                <w:sz w:val="20"/>
                <w:szCs w:val="20"/>
              </w:rPr>
              <w:t>31.03.2019</w:t>
            </w:r>
          </w:p>
        </w:tc>
      </w:tr>
      <w:tr w:rsidR="0019137B" w:rsidRPr="0019137B" w:rsidTr="009A06E7">
        <w:trPr>
          <w:trHeight w:val="135"/>
          <w:tblCellSpacing w:w="0" w:type="dxa"/>
          <w:jc w:val="center"/>
        </w:trPr>
        <w:tc>
          <w:tcPr>
            <w:tcW w:w="3776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C05B46">
              <w:rPr>
                <w:sz w:val="20"/>
                <w:szCs w:val="20"/>
              </w:rPr>
              <w:t>ilość</w:t>
            </w:r>
            <w:proofErr w:type="gramEnd"/>
            <w:r w:rsidRPr="00C05B46">
              <w:rPr>
                <w:sz w:val="20"/>
                <w:szCs w:val="20"/>
              </w:rPr>
              <w:t xml:space="preserve"> kont finansowych lokali mieszkalnych z</w:t>
            </w:r>
            <w:r w:rsidR="009A06E7">
              <w:rPr>
                <w:sz w:val="20"/>
                <w:szCs w:val="20"/>
              </w:rPr>
              <w:t> </w:t>
            </w:r>
            <w:r w:rsidRPr="00C05B46">
              <w:rPr>
                <w:sz w:val="20"/>
                <w:szCs w:val="20"/>
              </w:rPr>
              <w:t>zadłużeniem / ogółem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7943 / 14 832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8042 / 14 607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7584 / 14 689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7841 / 14 065</w:t>
            </w:r>
          </w:p>
        </w:tc>
      </w:tr>
      <w:tr w:rsidR="0019137B" w:rsidRPr="0019137B" w:rsidTr="009A06E7">
        <w:trPr>
          <w:trHeight w:val="135"/>
          <w:tblCellSpacing w:w="0" w:type="dxa"/>
          <w:jc w:val="center"/>
        </w:trPr>
        <w:tc>
          <w:tcPr>
            <w:tcW w:w="3776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C05B46">
              <w:rPr>
                <w:sz w:val="20"/>
                <w:szCs w:val="20"/>
              </w:rPr>
              <w:t>konta</w:t>
            </w:r>
            <w:proofErr w:type="gramEnd"/>
            <w:r w:rsidRPr="00C05B46">
              <w:rPr>
                <w:sz w:val="20"/>
                <w:szCs w:val="20"/>
              </w:rPr>
              <w:t xml:space="preserve"> finansowe byłych użytkowników lokali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3350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3662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3693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3751</w:t>
            </w:r>
          </w:p>
        </w:tc>
      </w:tr>
      <w:tr w:rsidR="0019137B" w:rsidRPr="0019137B" w:rsidTr="009A06E7">
        <w:trPr>
          <w:trHeight w:val="135"/>
          <w:tblCellSpacing w:w="0" w:type="dxa"/>
          <w:jc w:val="center"/>
        </w:trPr>
        <w:tc>
          <w:tcPr>
            <w:tcW w:w="3776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C05B46">
              <w:rPr>
                <w:sz w:val="20"/>
                <w:szCs w:val="20"/>
              </w:rPr>
              <w:t>konta</w:t>
            </w:r>
            <w:proofErr w:type="gramEnd"/>
            <w:r w:rsidRPr="00C05B46">
              <w:rPr>
                <w:sz w:val="20"/>
                <w:szCs w:val="20"/>
              </w:rPr>
              <w:t xml:space="preserve"> finansowe obecnych użytkowników lokali, w tym: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4593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4380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3891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4090</w:t>
            </w:r>
          </w:p>
        </w:tc>
      </w:tr>
      <w:tr w:rsidR="0019137B" w:rsidRPr="0019137B" w:rsidTr="009A06E7">
        <w:trPr>
          <w:trHeight w:val="135"/>
          <w:tblCellSpacing w:w="0" w:type="dxa"/>
          <w:jc w:val="center"/>
        </w:trPr>
        <w:tc>
          <w:tcPr>
            <w:tcW w:w="3776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– z zaległością do 3 m-</w:t>
            </w:r>
            <w:proofErr w:type="spellStart"/>
            <w:r w:rsidRPr="00C05B46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5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2409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2447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2171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2385</w:t>
            </w:r>
          </w:p>
        </w:tc>
      </w:tr>
      <w:tr w:rsidR="0019137B" w:rsidRPr="0019137B" w:rsidTr="009A06E7">
        <w:trPr>
          <w:trHeight w:val="120"/>
          <w:tblCellSpacing w:w="0" w:type="dxa"/>
          <w:jc w:val="center"/>
        </w:trPr>
        <w:tc>
          <w:tcPr>
            <w:tcW w:w="3776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– z zaległością pow. 3 m-</w:t>
            </w:r>
            <w:proofErr w:type="spellStart"/>
            <w:r w:rsidRPr="00C05B46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5" w:type="dxa"/>
            <w:gridSpan w:val="2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2184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1933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1720</w:t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19137B" w:rsidRPr="00C05B46" w:rsidRDefault="0019137B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5B46">
              <w:rPr>
                <w:sz w:val="20"/>
                <w:szCs w:val="20"/>
              </w:rPr>
              <w:t>1691</w:t>
            </w:r>
          </w:p>
        </w:tc>
      </w:tr>
      <w:tr w:rsidR="006E1F7B" w:rsidRPr="009A06E7" w:rsidTr="006E1F7B">
        <w:trPr>
          <w:trHeight w:val="135"/>
          <w:tblCellSpacing w:w="0" w:type="dxa"/>
          <w:jc w:val="center"/>
        </w:trPr>
        <w:tc>
          <w:tcPr>
            <w:tcW w:w="3760" w:type="dxa"/>
            <w:shd w:val="clear" w:color="auto" w:fill="C2D69B" w:themeFill="accent3" w:themeFillTint="99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r w:rsidRPr="009A06E7">
              <w:rPr>
                <w:b/>
                <w:bCs/>
                <w:sz w:val="20"/>
                <w:szCs w:val="20"/>
              </w:rPr>
              <w:t>Lokale użytkowe</w:t>
            </w:r>
          </w:p>
        </w:tc>
        <w:tc>
          <w:tcPr>
            <w:tcW w:w="1468" w:type="dxa"/>
            <w:gridSpan w:val="2"/>
            <w:shd w:val="clear" w:color="auto" w:fill="C2D69B" w:themeFill="accent3" w:themeFillTint="99"/>
            <w:vAlign w:val="bottom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69" w:type="dxa"/>
            <w:gridSpan w:val="2"/>
            <w:shd w:val="clear" w:color="auto" w:fill="C2D69B" w:themeFill="accent3" w:themeFillTint="99"/>
            <w:vAlign w:val="bottom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68" w:type="dxa"/>
            <w:shd w:val="clear" w:color="auto" w:fill="C2D69B" w:themeFill="accent3" w:themeFillTint="99"/>
            <w:vAlign w:val="bottom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69" w:type="dxa"/>
            <w:shd w:val="clear" w:color="auto" w:fill="C2D69B" w:themeFill="accent3" w:themeFillTint="99"/>
            <w:vAlign w:val="bottom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b/>
                <w:bCs/>
                <w:sz w:val="20"/>
                <w:szCs w:val="20"/>
              </w:rPr>
              <w:t>31.03.2019</w:t>
            </w:r>
          </w:p>
        </w:tc>
      </w:tr>
      <w:tr w:rsidR="009A06E7" w:rsidRPr="009A06E7" w:rsidTr="009A06E7">
        <w:trPr>
          <w:trHeight w:val="135"/>
          <w:tblCellSpacing w:w="0" w:type="dxa"/>
          <w:jc w:val="center"/>
        </w:trPr>
        <w:tc>
          <w:tcPr>
            <w:tcW w:w="3760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9A06E7">
              <w:rPr>
                <w:sz w:val="20"/>
                <w:szCs w:val="20"/>
              </w:rPr>
              <w:t>ilość</w:t>
            </w:r>
            <w:proofErr w:type="gramEnd"/>
            <w:r w:rsidRPr="009A06E7">
              <w:rPr>
                <w:sz w:val="20"/>
                <w:szCs w:val="20"/>
              </w:rPr>
              <w:t xml:space="preserve"> kont finansowych lokali użytkowych </w:t>
            </w:r>
            <w:r>
              <w:rPr>
                <w:sz w:val="20"/>
                <w:szCs w:val="20"/>
              </w:rPr>
              <w:t> </w:t>
            </w:r>
            <w:r w:rsidRPr="009A06E7">
              <w:rPr>
                <w:sz w:val="20"/>
                <w:szCs w:val="20"/>
              </w:rPr>
              <w:t>zadłużeniem / ogółem</w:t>
            </w:r>
          </w:p>
        </w:tc>
        <w:tc>
          <w:tcPr>
            <w:tcW w:w="1468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717 / 1128</w:t>
            </w:r>
          </w:p>
        </w:tc>
        <w:tc>
          <w:tcPr>
            <w:tcW w:w="1469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745 / 1124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710 / 1143</w:t>
            </w:r>
          </w:p>
        </w:tc>
        <w:tc>
          <w:tcPr>
            <w:tcW w:w="1469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754 / 1084</w:t>
            </w:r>
          </w:p>
        </w:tc>
      </w:tr>
      <w:tr w:rsidR="009A06E7" w:rsidRPr="009A06E7" w:rsidTr="009A06E7">
        <w:trPr>
          <w:trHeight w:val="135"/>
          <w:tblCellSpacing w:w="0" w:type="dxa"/>
          <w:jc w:val="center"/>
        </w:trPr>
        <w:tc>
          <w:tcPr>
            <w:tcW w:w="3760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9A06E7">
              <w:rPr>
                <w:sz w:val="20"/>
                <w:szCs w:val="20"/>
              </w:rPr>
              <w:t>konta</w:t>
            </w:r>
            <w:proofErr w:type="gramEnd"/>
            <w:r w:rsidRPr="009A06E7">
              <w:rPr>
                <w:sz w:val="20"/>
                <w:szCs w:val="20"/>
              </w:rPr>
              <w:t xml:space="preserve"> finansowe byłych użytkowników lokali</w:t>
            </w:r>
          </w:p>
        </w:tc>
        <w:tc>
          <w:tcPr>
            <w:tcW w:w="1468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417</w:t>
            </w:r>
          </w:p>
        </w:tc>
        <w:tc>
          <w:tcPr>
            <w:tcW w:w="1469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350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365</w:t>
            </w:r>
          </w:p>
        </w:tc>
        <w:tc>
          <w:tcPr>
            <w:tcW w:w="1469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366</w:t>
            </w:r>
          </w:p>
        </w:tc>
      </w:tr>
      <w:tr w:rsidR="009A06E7" w:rsidRPr="009A06E7" w:rsidTr="009A06E7">
        <w:trPr>
          <w:trHeight w:val="135"/>
          <w:tblCellSpacing w:w="0" w:type="dxa"/>
          <w:jc w:val="center"/>
        </w:trPr>
        <w:tc>
          <w:tcPr>
            <w:tcW w:w="3760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9A06E7">
              <w:rPr>
                <w:sz w:val="20"/>
                <w:szCs w:val="20"/>
              </w:rPr>
              <w:t>konta</w:t>
            </w:r>
            <w:proofErr w:type="gramEnd"/>
            <w:r w:rsidRPr="009A06E7">
              <w:rPr>
                <w:sz w:val="20"/>
                <w:szCs w:val="20"/>
              </w:rPr>
              <w:t xml:space="preserve"> finansowe obecnych użytkowników lokali, w tym:</w:t>
            </w:r>
          </w:p>
        </w:tc>
        <w:tc>
          <w:tcPr>
            <w:tcW w:w="1468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395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345</w:t>
            </w:r>
          </w:p>
        </w:tc>
        <w:tc>
          <w:tcPr>
            <w:tcW w:w="1469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388</w:t>
            </w:r>
          </w:p>
        </w:tc>
      </w:tr>
      <w:tr w:rsidR="009A06E7" w:rsidRPr="009A06E7" w:rsidTr="009A06E7">
        <w:trPr>
          <w:trHeight w:val="135"/>
          <w:tblCellSpacing w:w="0" w:type="dxa"/>
          <w:jc w:val="center"/>
        </w:trPr>
        <w:tc>
          <w:tcPr>
            <w:tcW w:w="3760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- z zaległością do 2 m-</w:t>
            </w:r>
            <w:proofErr w:type="spellStart"/>
            <w:r w:rsidRPr="009A06E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8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216</w:t>
            </w:r>
          </w:p>
        </w:tc>
        <w:tc>
          <w:tcPr>
            <w:tcW w:w="1469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301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255</w:t>
            </w:r>
          </w:p>
        </w:tc>
        <w:tc>
          <w:tcPr>
            <w:tcW w:w="1469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332</w:t>
            </w:r>
          </w:p>
        </w:tc>
      </w:tr>
      <w:tr w:rsidR="009A06E7" w:rsidRPr="009A06E7" w:rsidTr="009A06E7">
        <w:trPr>
          <w:trHeight w:val="120"/>
          <w:tblCellSpacing w:w="0" w:type="dxa"/>
          <w:jc w:val="center"/>
        </w:trPr>
        <w:tc>
          <w:tcPr>
            <w:tcW w:w="3760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- z zaległością pow. 2 m-</w:t>
            </w:r>
            <w:proofErr w:type="spellStart"/>
            <w:r w:rsidRPr="009A06E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68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84</w:t>
            </w:r>
          </w:p>
        </w:tc>
        <w:tc>
          <w:tcPr>
            <w:tcW w:w="1469" w:type="dxa"/>
            <w:gridSpan w:val="2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94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90</w:t>
            </w:r>
          </w:p>
        </w:tc>
        <w:tc>
          <w:tcPr>
            <w:tcW w:w="1469" w:type="dxa"/>
            <w:shd w:val="clear" w:color="auto" w:fill="FFFFFF"/>
            <w:vAlign w:val="center"/>
            <w:hideMark/>
          </w:tcPr>
          <w:p w:rsidR="009A06E7" w:rsidRPr="009A06E7" w:rsidRDefault="009A06E7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06E7">
              <w:rPr>
                <w:sz w:val="20"/>
                <w:szCs w:val="20"/>
              </w:rPr>
              <w:t>56</w:t>
            </w:r>
          </w:p>
        </w:tc>
      </w:tr>
    </w:tbl>
    <w:p w:rsidR="009A06E7" w:rsidRDefault="009A06E7" w:rsidP="00D462B7">
      <w:pPr>
        <w:jc w:val="both"/>
      </w:pPr>
      <w:r>
        <w:lastRenderedPageBreak/>
        <w:t>Ilość kont finansowych z zadłużeniem nie jest równa ilości dłużników. Jeden dłużnik może posiadać kilka kont rozrachunkowych, tj. lokali, w których zamieszkiwał.</w:t>
      </w:r>
    </w:p>
    <w:p w:rsidR="009A06E7" w:rsidRDefault="009A06E7" w:rsidP="00D462B7">
      <w:pPr>
        <w:jc w:val="both"/>
      </w:pPr>
      <w:r>
        <w:t>W podanych powyżej zestawieniach: na koniec 2018 r. ilość kont finansowych lokali mieszkalnych</w:t>
      </w:r>
      <w:r w:rsidR="008B080A">
        <w:t xml:space="preserve"> </w:t>
      </w:r>
      <w:r>
        <w:t>z</w:t>
      </w:r>
      <w:r w:rsidR="008B080A">
        <w:t> </w:t>
      </w:r>
      <w:r>
        <w:t>należnością do 100 zł wynosiła 1801, ilość kont finansowych z należnością od 100,01 zł do 500 zł wynosiła 1074.</w:t>
      </w:r>
    </w:p>
    <w:p w:rsidR="009A06E7" w:rsidRDefault="009A06E7" w:rsidP="009A06E7"/>
    <w:p w:rsidR="0019137B" w:rsidRPr="008B080A" w:rsidRDefault="009A06E7" w:rsidP="008B080A">
      <w:pPr>
        <w:spacing w:after="60"/>
        <w:rPr>
          <w:b/>
          <w:sz w:val="20"/>
          <w:szCs w:val="20"/>
        </w:rPr>
      </w:pPr>
      <w:r w:rsidRPr="008B080A">
        <w:rPr>
          <w:b/>
          <w:sz w:val="20"/>
          <w:szCs w:val="20"/>
        </w:rPr>
        <w:t xml:space="preserve">Tabela nr 7. Średnioroczny procentowy stosunek wpływów do naliczeń </w:t>
      </w:r>
      <w:r w:rsidR="008B080A">
        <w:rPr>
          <w:b/>
          <w:sz w:val="20"/>
          <w:szCs w:val="20"/>
        </w:rPr>
        <w:t>w latach 2016-2018.</w:t>
      </w:r>
    </w:p>
    <w:tbl>
      <w:tblPr>
        <w:tblW w:w="2978" w:type="pct"/>
        <w:jc w:val="center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9"/>
        <w:gridCol w:w="1970"/>
        <w:gridCol w:w="1970"/>
      </w:tblGrid>
      <w:tr w:rsidR="006E1F7B" w:rsidRPr="008B080A" w:rsidTr="006E1F7B">
        <w:trPr>
          <w:trHeight w:val="135"/>
          <w:tblCellSpacing w:w="0" w:type="dxa"/>
          <w:jc w:val="center"/>
        </w:trPr>
        <w:tc>
          <w:tcPr>
            <w:tcW w:w="1666" w:type="pct"/>
            <w:shd w:val="clear" w:color="auto" w:fill="C2D69B" w:themeFill="accent3" w:themeFillTint="99"/>
            <w:vAlign w:val="center"/>
            <w:hideMark/>
          </w:tcPr>
          <w:p w:rsidR="008B080A" w:rsidRPr="008B080A" w:rsidRDefault="008B080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80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  <w:hideMark/>
          </w:tcPr>
          <w:p w:rsidR="008B080A" w:rsidRPr="008B080A" w:rsidRDefault="008B080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80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  <w:hideMark/>
          </w:tcPr>
          <w:p w:rsidR="008B080A" w:rsidRPr="008B080A" w:rsidRDefault="008B080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80A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8B080A" w:rsidRPr="008B080A" w:rsidTr="00CC4252">
        <w:trPr>
          <w:trHeight w:val="120"/>
          <w:tblCellSpacing w:w="0" w:type="dxa"/>
          <w:jc w:val="center"/>
        </w:trPr>
        <w:tc>
          <w:tcPr>
            <w:tcW w:w="1666" w:type="pct"/>
            <w:shd w:val="clear" w:color="auto" w:fill="FFFFFF"/>
            <w:vAlign w:val="center"/>
            <w:hideMark/>
          </w:tcPr>
          <w:p w:rsidR="008B080A" w:rsidRPr="008B080A" w:rsidRDefault="008B080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80A">
              <w:rPr>
                <w:sz w:val="20"/>
                <w:szCs w:val="20"/>
              </w:rPr>
              <w:t>91%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8B080A" w:rsidRPr="008B080A" w:rsidRDefault="00044FD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8B080A" w:rsidRPr="008B080A">
              <w:rPr>
                <w:sz w:val="20"/>
                <w:szCs w:val="20"/>
              </w:rPr>
              <w:t>%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8B080A" w:rsidRPr="008B080A" w:rsidRDefault="008B080A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80A">
              <w:rPr>
                <w:sz w:val="20"/>
                <w:szCs w:val="20"/>
              </w:rPr>
              <w:t>94%</w:t>
            </w:r>
          </w:p>
        </w:tc>
      </w:tr>
    </w:tbl>
    <w:p w:rsidR="0019137B" w:rsidRDefault="0019137B" w:rsidP="006F1FB8"/>
    <w:p w:rsidR="0019137B" w:rsidRPr="00F60BB0" w:rsidRDefault="00F60BB0" w:rsidP="00F60BB0">
      <w:pPr>
        <w:spacing w:after="60"/>
        <w:rPr>
          <w:b/>
          <w:sz w:val="20"/>
          <w:szCs w:val="20"/>
        </w:rPr>
      </w:pPr>
      <w:r w:rsidRPr="00F60BB0">
        <w:rPr>
          <w:b/>
          <w:sz w:val="20"/>
          <w:szCs w:val="20"/>
        </w:rPr>
        <w:t>Tabela nr 8. Wpływy z tytułu egzekucji komorniczych</w:t>
      </w:r>
      <w:r>
        <w:rPr>
          <w:b/>
          <w:sz w:val="20"/>
          <w:szCs w:val="20"/>
        </w:rPr>
        <w:t xml:space="preserve"> </w:t>
      </w:r>
      <w:r w:rsidRPr="00F60BB0">
        <w:rPr>
          <w:b/>
          <w:sz w:val="20"/>
          <w:szCs w:val="20"/>
        </w:rPr>
        <w:t>w latach 2016-2018.</w:t>
      </w:r>
    </w:p>
    <w:tbl>
      <w:tblPr>
        <w:tblW w:w="3001" w:type="pct"/>
        <w:jc w:val="center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1985"/>
        <w:gridCol w:w="1984"/>
      </w:tblGrid>
      <w:tr w:rsidR="00F60BB0" w:rsidRPr="00F60BB0" w:rsidTr="006E1F7B">
        <w:trPr>
          <w:trHeight w:val="120"/>
          <w:tblCellSpacing w:w="0" w:type="dxa"/>
          <w:jc w:val="center"/>
        </w:trPr>
        <w:tc>
          <w:tcPr>
            <w:tcW w:w="1667" w:type="pct"/>
            <w:shd w:val="clear" w:color="auto" w:fill="C2D69B" w:themeFill="accent3" w:themeFillTint="99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b/>
                <w:bCs/>
                <w:sz w:val="20"/>
                <w:szCs w:val="20"/>
              </w:rPr>
              <w:t>Rok 2016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b/>
                <w:bCs/>
                <w:sz w:val="20"/>
                <w:szCs w:val="20"/>
              </w:rPr>
              <w:t>Rok 2017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b/>
                <w:bCs/>
                <w:sz w:val="20"/>
                <w:szCs w:val="20"/>
              </w:rPr>
              <w:t>Rok 2018</w:t>
            </w:r>
          </w:p>
        </w:tc>
      </w:tr>
      <w:tr w:rsidR="00F60BB0" w:rsidRPr="00F60BB0" w:rsidTr="00CC4252">
        <w:trPr>
          <w:trHeight w:val="120"/>
          <w:tblCellSpacing w:w="0" w:type="dxa"/>
          <w:jc w:val="center"/>
        </w:trPr>
        <w:tc>
          <w:tcPr>
            <w:tcW w:w="1667" w:type="pct"/>
            <w:shd w:val="clear" w:color="auto" w:fill="FFFFFF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sz w:val="20"/>
                <w:szCs w:val="20"/>
              </w:rPr>
              <w:t>1 667 246,35 zł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sz w:val="20"/>
                <w:szCs w:val="20"/>
              </w:rPr>
              <w:t>1 895 221,81 zł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F60BB0" w:rsidRPr="00F60BB0" w:rsidRDefault="00F60BB0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0BB0">
              <w:rPr>
                <w:sz w:val="20"/>
                <w:szCs w:val="20"/>
              </w:rPr>
              <w:t>2 319 183,00 zł</w:t>
            </w:r>
          </w:p>
        </w:tc>
      </w:tr>
    </w:tbl>
    <w:p w:rsidR="0019137B" w:rsidRDefault="0019137B" w:rsidP="006F1FB8"/>
    <w:p w:rsidR="00CC4252" w:rsidRDefault="00CC4252" w:rsidP="00FD4535">
      <w:pPr>
        <w:pStyle w:val="Akapitzlist"/>
        <w:numPr>
          <w:ilvl w:val="0"/>
          <w:numId w:val="4"/>
        </w:numPr>
        <w:ind w:left="426" w:hanging="426"/>
      </w:pPr>
      <w:r>
        <w:t>Działania podejmowane w celu zmniejszenia stanu zadłużenia</w:t>
      </w:r>
      <w:r w:rsidR="00270E8B">
        <w:t>.</w:t>
      </w:r>
    </w:p>
    <w:p w:rsidR="00270E8B" w:rsidRDefault="00270E8B" w:rsidP="00270E8B">
      <w:pPr>
        <w:pStyle w:val="Akapitzlist"/>
        <w:ind w:left="426"/>
      </w:pPr>
    </w:p>
    <w:p w:rsidR="0019137B" w:rsidRPr="00CC4252" w:rsidRDefault="00CC4252" w:rsidP="00CC4252">
      <w:pPr>
        <w:spacing w:after="60"/>
        <w:rPr>
          <w:b/>
          <w:sz w:val="20"/>
          <w:szCs w:val="20"/>
        </w:rPr>
      </w:pPr>
      <w:r w:rsidRPr="00CC4252">
        <w:rPr>
          <w:b/>
          <w:sz w:val="20"/>
          <w:szCs w:val="20"/>
        </w:rPr>
        <w:t xml:space="preserve">Tabela nr 9. Zestawienie podjętych czynności windykacyjnych </w:t>
      </w:r>
      <w:r w:rsidR="00AA20E1">
        <w:rPr>
          <w:b/>
          <w:sz w:val="20"/>
          <w:szCs w:val="20"/>
        </w:rPr>
        <w:t xml:space="preserve">w </w:t>
      </w:r>
      <w:r w:rsidRPr="00CC4252">
        <w:rPr>
          <w:b/>
          <w:sz w:val="20"/>
          <w:szCs w:val="20"/>
        </w:rPr>
        <w:t>lata</w:t>
      </w:r>
      <w:r w:rsidR="00AA20E1">
        <w:rPr>
          <w:b/>
          <w:sz w:val="20"/>
          <w:szCs w:val="20"/>
        </w:rPr>
        <w:t>ch</w:t>
      </w:r>
      <w:r w:rsidRPr="00CC4252">
        <w:rPr>
          <w:b/>
          <w:sz w:val="20"/>
          <w:szCs w:val="20"/>
        </w:rPr>
        <w:t xml:space="preserve"> 2016-2019.</w:t>
      </w:r>
    </w:p>
    <w:tbl>
      <w:tblPr>
        <w:tblW w:w="449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1"/>
        <w:gridCol w:w="1533"/>
        <w:gridCol w:w="1533"/>
        <w:gridCol w:w="1533"/>
        <w:gridCol w:w="1533"/>
      </w:tblGrid>
      <w:tr w:rsidR="00AA20E1" w:rsidRPr="00CC4252" w:rsidTr="006E1F7B">
        <w:trPr>
          <w:trHeight w:val="135"/>
          <w:tblCellSpacing w:w="0" w:type="dxa"/>
          <w:jc w:val="center"/>
        </w:trPr>
        <w:tc>
          <w:tcPr>
            <w:tcW w:w="1560" w:type="pct"/>
            <w:shd w:val="clear" w:color="auto" w:fill="C2D69B" w:themeFill="accent3" w:themeFillTint="99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b/>
                <w:bCs/>
                <w:sz w:val="20"/>
                <w:szCs w:val="20"/>
              </w:rPr>
              <w:t>Czynności windykacyjne</w:t>
            </w:r>
          </w:p>
        </w:tc>
        <w:tc>
          <w:tcPr>
            <w:tcW w:w="860" w:type="pct"/>
            <w:shd w:val="clear" w:color="auto" w:fill="C2D69B" w:themeFill="accent3" w:themeFillTint="99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60" w:type="pct"/>
            <w:shd w:val="clear" w:color="auto" w:fill="C2D69B" w:themeFill="accent3" w:themeFillTint="99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60" w:type="pct"/>
            <w:shd w:val="clear" w:color="auto" w:fill="C2D69B" w:themeFill="accent3" w:themeFillTint="99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60" w:type="pct"/>
            <w:shd w:val="clear" w:color="auto" w:fill="C2D69B" w:themeFill="accent3" w:themeFillTint="99"/>
            <w:vAlign w:val="center"/>
            <w:hideMark/>
          </w:tcPr>
          <w:p w:rsidR="00CC4252" w:rsidRPr="00AA20E1" w:rsidRDefault="00F97F2F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31.03.2019</w:t>
            </w:r>
          </w:p>
        </w:tc>
      </w:tr>
      <w:tr w:rsidR="00AA20E1" w:rsidRPr="00CC4252" w:rsidTr="00AA20E1">
        <w:trPr>
          <w:trHeight w:val="150"/>
          <w:tblCellSpacing w:w="0" w:type="dxa"/>
          <w:jc w:val="center"/>
        </w:trPr>
        <w:tc>
          <w:tcPr>
            <w:tcW w:w="1560" w:type="pct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Wezwania do zapłaty LM/LU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2984 / 310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2730 / 326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2520 / 350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681 / 101</w:t>
            </w:r>
          </w:p>
        </w:tc>
      </w:tr>
      <w:tr w:rsidR="00AA20E1" w:rsidRPr="00CC4252" w:rsidTr="00AA20E1">
        <w:trPr>
          <w:trHeight w:val="150"/>
          <w:tblCellSpacing w:w="0" w:type="dxa"/>
          <w:jc w:val="center"/>
        </w:trPr>
        <w:tc>
          <w:tcPr>
            <w:tcW w:w="1560" w:type="pct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Wypowiedzenia umowy LM/LU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278 / 12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211 / 23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150 / 15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33 / 6</w:t>
            </w:r>
          </w:p>
        </w:tc>
      </w:tr>
      <w:tr w:rsidR="00AA20E1" w:rsidRPr="00CC4252" w:rsidTr="00AA20E1">
        <w:trPr>
          <w:trHeight w:val="150"/>
          <w:tblCellSpacing w:w="0" w:type="dxa"/>
          <w:jc w:val="center"/>
        </w:trPr>
        <w:tc>
          <w:tcPr>
            <w:tcW w:w="1560" w:type="pct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Ilość odbytych mediacji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547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357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210</w:t>
            </w:r>
          </w:p>
        </w:tc>
        <w:tc>
          <w:tcPr>
            <w:tcW w:w="860" w:type="pct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53</w:t>
            </w:r>
          </w:p>
        </w:tc>
      </w:tr>
      <w:tr w:rsidR="00AA20E1" w:rsidRPr="00CC4252" w:rsidTr="00AA20E1">
        <w:trPr>
          <w:trHeight w:val="150"/>
          <w:tblCellSpacing w:w="0" w:type="dxa"/>
          <w:jc w:val="center"/>
        </w:trPr>
        <w:tc>
          <w:tcPr>
            <w:tcW w:w="1560" w:type="pct"/>
            <w:shd w:val="clear" w:color="auto" w:fill="FFFFFF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Ilość zawartych porozumień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362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413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304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46</w:t>
            </w:r>
          </w:p>
        </w:tc>
      </w:tr>
      <w:tr w:rsidR="00AA20E1" w:rsidRPr="00CC4252" w:rsidTr="00AA20E1">
        <w:trPr>
          <w:trHeight w:val="135"/>
          <w:tblCellSpacing w:w="0" w:type="dxa"/>
          <w:jc w:val="center"/>
        </w:trPr>
        <w:tc>
          <w:tcPr>
            <w:tcW w:w="1560" w:type="pct"/>
            <w:shd w:val="clear" w:color="auto" w:fill="FFFFFF"/>
            <w:vAlign w:val="bottom"/>
            <w:hideMark/>
          </w:tcPr>
          <w:p w:rsidR="00CC4252" w:rsidRPr="00AA20E1" w:rsidRDefault="00CC4252" w:rsidP="00D462B7">
            <w:pPr>
              <w:spacing w:line="240" w:lineRule="auto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Ilość skierowanych spraw o zapłatę i eksmisję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725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850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496</w:t>
            </w:r>
          </w:p>
        </w:tc>
        <w:tc>
          <w:tcPr>
            <w:tcW w:w="860" w:type="pct"/>
            <w:shd w:val="clear" w:color="auto" w:fill="FFFFFF"/>
            <w:vAlign w:val="center"/>
            <w:hideMark/>
          </w:tcPr>
          <w:p w:rsidR="00CC4252" w:rsidRPr="00AA20E1" w:rsidRDefault="00CC4252" w:rsidP="00D462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20E1">
              <w:rPr>
                <w:sz w:val="20"/>
                <w:szCs w:val="20"/>
              </w:rPr>
              <w:t>79</w:t>
            </w:r>
          </w:p>
        </w:tc>
      </w:tr>
    </w:tbl>
    <w:p w:rsidR="0019137B" w:rsidRDefault="0019137B" w:rsidP="006F1FB8"/>
    <w:p w:rsidR="00AA20E1" w:rsidRPr="00255B4E" w:rsidRDefault="00C222B5" w:rsidP="00FD4535">
      <w:pPr>
        <w:pStyle w:val="Akapitzlist"/>
        <w:numPr>
          <w:ilvl w:val="0"/>
          <w:numId w:val="4"/>
        </w:numPr>
        <w:ind w:left="426" w:hanging="426"/>
      </w:pPr>
      <w:r w:rsidRPr="00255B4E">
        <w:t>Mediacje z dłużnikami</w:t>
      </w:r>
    </w:p>
    <w:p w:rsidR="00D26DAA" w:rsidRDefault="00D26DAA" w:rsidP="00255B4E">
      <w:pPr>
        <w:pStyle w:val="Akapitzlist"/>
        <w:ind w:left="426"/>
        <w:jc w:val="both"/>
      </w:pPr>
      <w:r>
        <w:t>P</w:t>
      </w:r>
      <w:r w:rsidR="00AA20E1">
        <w:t xml:space="preserve">odstawa prawna: zarządzenie nr 2 Dyrektora MZZL z dnia 15 stycznia 2016 r. w sprawie: wykonania § 2 pkt. 3 </w:t>
      </w:r>
      <w:r>
        <w:t>z</w:t>
      </w:r>
      <w:r w:rsidR="00AA20E1">
        <w:t>arządzenia nr 618 Prezydenta Miasta Sosnowca z dnia 11 czerwca 2012 r. dotyczącego ułatwienia spłaty zadłużenia za lokale gminne, dłużnikom będącym w trudnej sytuacji materialnej i</w:t>
      </w:r>
      <w:r w:rsidR="00F97F2F">
        <w:t> </w:t>
      </w:r>
      <w:r w:rsidR="00AA20E1">
        <w:t>życiowej</w:t>
      </w:r>
      <w:r>
        <w:t xml:space="preserve"> </w:t>
      </w:r>
      <w:r w:rsidR="00AA20E1">
        <w:t>w formie odpracowania należności na rzecz Gminy Sosnowiec. Mediacje z</w:t>
      </w:r>
      <w:r>
        <w:t> </w:t>
      </w:r>
      <w:r w:rsidR="00AA20E1">
        <w:t>dłużnikami prowadzone są w celu ustalenia sposobu uregulowania zaległości przez dłużnika oraz obniżenie kosztów użytkowania zajmowanego lokalu.</w:t>
      </w:r>
    </w:p>
    <w:p w:rsidR="00255B4E" w:rsidRDefault="00D26DAA" w:rsidP="00255B4E">
      <w:pPr>
        <w:pStyle w:val="Akapitzlist"/>
        <w:ind w:left="426"/>
        <w:jc w:val="both"/>
      </w:pPr>
      <w:r>
        <w:t>W</w:t>
      </w:r>
      <w:r w:rsidR="00AA20E1">
        <w:t xml:space="preserve"> okresie od czerwca 2012 r. do marca 2019 r. przeprowadzono 3099 mediacji z dłużnikami (w roku 2018 było ich 210, przy czym zaproszonych na mediacje było 348 dłużników).</w:t>
      </w:r>
    </w:p>
    <w:p w:rsidR="00AA20E1" w:rsidRDefault="00AA20E1" w:rsidP="00255B4E">
      <w:pPr>
        <w:pStyle w:val="Akapitzlist"/>
        <w:ind w:left="426"/>
        <w:jc w:val="both"/>
      </w:pPr>
      <w:r>
        <w:t xml:space="preserve">Efektem ustaleń mediacyjnych było: </w:t>
      </w:r>
    </w:p>
    <w:p w:rsidR="00AA20E1" w:rsidRPr="00B5624E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B5624E">
        <w:rPr>
          <w:b/>
        </w:rPr>
        <w:t>rozłożenie</w:t>
      </w:r>
      <w:proofErr w:type="gramEnd"/>
      <w:r w:rsidRPr="00B5624E">
        <w:rPr>
          <w:b/>
        </w:rPr>
        <w:t xml:space="preserve"> spłaty zaległości na raty</w:t>
      </w:r>
      <w:r w:rsidR="00270E8B">
        <w:rPr>
          <w:b/>
        </w:rPr>
        <w:t>;</w:t>
      </w:r>
    </w:p>
    <w:p w:rsidR="00AA20E1" w:rsidRDefault="00270E8B" w:rsidP="003F68A7">
      <w:pPr>
        <w:ind w:left="426"/>
        <w:jc w:val="both"/>
      </w:pPr>
      <w:r>
        <w:t>I</w:t>
      </w:r>
      <w:r w:rsidR="00AA20E1">
        <w:t>lość realizowanych porozumień wg stanu na dzień 31</w:t>
      </w:r>
      <w:r w:rsidR="00F97F2F">
        <w:t> </w:t>
      </w:r>
      <w:r w:rsidR="00AA20E1">
        <w:t>03</w:t>
      </w:r>
      <w:r w:rsidR="00F97F2F">
        <w:t> </w:t>
      </w:r>
      <w:r w:rsidR="00AA20E1">
        <w:t>2019</w:t>
      </w:r>
      <w:r w:rsidR="00255B4E">
        <w:t xml:space="preserve"> </w:t>
      </w:r>
      <w:r w:rsidR="00AA20E1">
        <w:t>r.: 729 (wpływ z tytułu zaległości rozłożonych na raty za miesiąc marze</w:t>
      </w:r>
      <w:r w:rsidR="00B5624E">
        <w:t>c 2019r. wyniósł: 186</w:t>
      </w:r>
      <w:r>
        <w:t> </w:t>
      </w:r>
      <w:r w:rsidR="00B5624E">
        <w:t>869,239</w:t>
      </w:r>
      <w:r>
        <w:t xml:space="preserve"> </w:t>
      </w:r>
      <w:r w:rsidR="00B5624E">
        <w:t>zł</w:t>
      </w:r>
      <w:r w:rsidR="00AA20E1">
        <w:t>)</w:t>
      </w:r>
      <w:r w:rsidR="00B5624E">
        <w:t>;</w:t>
      </w:r>
    </w:p>
    <w:p w:rsidR="00270E8B" w:rsidRDefault="00270E8B">
      <w:r>
        <w:br w:type="page"/>
      </w:r>
    </w:p>
    <w:p w:rsidR="00AA20E1" w:rsidRDefault="00AA20E1" w:rsidP="003F68A7">
      <w:pPr>
        <w:ind w:left="426"/>
        <w:jc w:val="both"/>
      </w:pPr>
      <w:r>
        <w:lastRenderedPageBreak/>
        <w:t>W oparciu o przepisy § 4 ust. 7 uchwały nr 390/XXXIII/2016 Rady Miejskiej w Sosnowcu z dnia</w:t>
      </w:r>
      <w:r w:rsidR="00270E8B">
        <w:t xml:space="preserve"> </w:t>
      </w:r>
      <w:r>
        <w:t>30</w:t>
      </w:r>
      <w:r w:rsidR="00270E8B">
        <w:t> </w:t>
      </w:r>
      <w:r>
        <w:t>czerwca 2016 roku</w:t>
      </w:r>
      <w:r w:rsidR="003F68A7">
        <w:t>,</w:t>
      </w:r>
      <w:r>
        <w:t xml:space="preserve"> okres spłaty należności pieniężnych z tytułu korzystania z lokalu mieszkalnego wchodzącego w skład mieszkaniowego zasobu gminy nie może być dłuższy niż 60 miesięcy, licząc od dnia zawarcia porozumienia.</w:t>
      </w:r>
    </w:p>
    <w:p w:rsidR="00AA20E1" w:rsidRPr="00B5624E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B5624E">
        <w:rPr>
          <w:b/>
        </w:rPr>
        <w:t>całkowite</w:t>
      </w:r>
      <w:proofErr w:type="gramEnd"/>
      <w:r w:rsidRPr="00B5624E">
        <w:rPr>
          <w:b/>
        </w:rPr>
        <w:t xml:space="preserve"> lub częściowe umorzenie zaległości</w:t>
      </w:r>
      <w:r w:rsidR="003F68A7">
        <w:rPr>
          <w:b/>
        </w:rPr>
        <w:t>;</w:t>
      </w:r>
    </w:p>
    <w:p w:rsidR="00AA20E1" w:rsidRDefault="003F68A7" w:rsidP="003F68A7">
      <w:pPr>
        <w:spacing w:after="60"/>
        <w:ind w:left="425"/>
        <w:jc w:val="both"/>
      </w:pPr>
      <w:r>
        <w:t>P</w:t>
      </w:r>
      <w:r w:rsidR="00AA20E1">
        <w:t>odstawa prawna: uchwała nr 390/XXXIII/2016 Rady Miejskiej w Sosnowcu z dnia 30 czerwca 2016 roku w sprawie określenia szczegółowych zasad, sposobu i trybu udzielania ulg w spłacie należności pieniężnych mających charakter cywilnoprawny, przypadających gminie Sosnowiec lub jej jednostkom podległym, warunków dopuszczalności pomocy publicznej w przypadkach, w których ulga stanowić będzie pomoc publiczną oraz wskazania organów lub osób uprawnionych do udzielania tych ulg.</w:t>
      </w:r>
    </w:p>
    <w:p w:rsidR="00AA20E1" w:rsidRDefault="00AA20E1" w:rsidP="003F68A7">
      <w:pPr>
        <w:spacing w:after="60"/>
        <w:ind w:left="425"/>
        <w:jc w:val="both"/>
      </w:pPr>
      <w:r>
        <w:t>Na podstawie cytowanej uchwały na wniosek dłużnika należności pieniężne mogą być w całości umarzane, ich spłata może być odraczana lub rozkładana na raty w przypadkach uzasadnionych ważnym interesem dłużnika lub interesem publicznym.</w:t>
      </w:r>
    </w:p>
    <w:p w:rsidR="00AA20E1" w:rsidRDefault="00AA20E1" w:rsidP="003F68A7">
      <w:pPr>
        <w:spacing w:after="60"/>
        <w:ind w:left="425"/>
        <w:jc w:val="both"/>
      </w:pPr>
      <w:r>
        <w:t xml:space="preserve">Do ww. uchwały wprowadzono zapisy rozdziału 2 dotyczącego szczególnych zasad umarzania należności pieniężnych z tytułu korzystania z lokali mieszkalnych wchodzących w skład mieszkaniowego zasobu gminy. Przepisy niniejszego rozdziału mają zastosowanie do umarzania należności pieniężnych, które na dzień 31 grudnia 2015 r. przekraczały 10.000 </w:t>
      </w:r>
      <w:proofErr w:type="gramStart"/>
      <w:r>
        <w:t>zł</w:t>
      </w:r>
      <w:proofErr w:type="gramEnd"/>
      <w:r>
        <w:t xml:space="preserve"> z tytułu najmu lokalu mieszkalnego lub bezumownego korzystania z lokalu mieszkalnego, niezwiązanych z prowadzeniem działalności gospodarczej. Powyższe należności podlegają umorzeniu po spełnieniu warunków określonych w uchwale oraz zgodnie z</w:t>
      </w:r>
      <w:r w:rsidR="003F68A7">
        <w:t> </w:t>
      </w:r>
      <w:r>
        <w:t>następującymi zasadami:</w:t>
      </w:r>
    </w:p>
    <w:p w:rsidR="00AA20E1" w:rsidRDefault="00AA20E1" w:rsidP="00FD4535">
      <w:pPr>
        <w:pStyle w:val="Akapitzlist"/>
        <w:numPr>
          <w:ilvl w:val="0"/>
          <w:numId w:val="6"/>
        </w:numPr>
        <w:ind w:hanging="294"/>
        <w:jc w:val="both"/>
      </w:pPr>
      <w:proofErr w:type="gramStart"/>
      <w:r w:rsidRPr="003964EC">
        <w:rPr>
          <w:b/>
        </w:rPr>
        <w:t>umorzenie</w:t>
      </w:r>
      <w:proofErr w:type="gramEnd"/>
      <w:r w:rsidRPr="003964EC">
        <w:rPr>
          <w:b/>
        </w:rPr>
        <w:t xml:space="preserve"> 30% należności głównej i kosztów postępowań oraz 100%</w:t>
      </w:r>
      <w:r>
        <w:t xml:space="preserve"> odsetek za opóźnienie w</w:t>
      </w:r>
      <w:r w:rsidR="003964EC">
        <w:t> </w:t>
      </w:r>
      <w:r>
        <w:t>zapłacie – pod warunkiem spłaty w maksymalnie 36 miesięcznych ratach nieumorzonej części zadłużenia i regularnego wnoszenia opłat z tytułu najmu lokalu mieszkalnego lub bezumownego korzystania z lokalu mieszkalnego przez okres równy liczbie udzielonych rat</w:t>
      </w:r>
      <w:r w:rsidR="003964EC">
        <w:t>,</w:t>
      </w:r>
    </w:p>
    <w:p w:rsidR="00AA20E1" w:rsidRDefault="00AA20E1" w:rsidP="00FD4535">
      <w:pPr>
        <w:pStyle w:val="Akapitzlist"/>
        <w:numPr>
          <w:ilvl w:val="0"/>
          <w:numId w:val="6"/>
        </w:numPr>
        <w:ind w:hanging="294"/>
        <w:jc w:val="both"/>
      </w:pPr>
      <w:proofErr w:type="gramStart"/>
      <w:r w:rsidRPr="003964EC">
        <w:rPr>
          <w:b/>
        </w:rPr>
        <w:t>umorzenie</w:t>
      </w:r>
      <w:proofErr w:type="gramEnd"/>
      <w:r w:rsidRPr="003964EC">
        <w:rPr>
          <w:b/>
        </w:rPr>
        <w:t xml:space="preserve"> 50% należności głównej i kosztów postępowań oraz 100% odsetek</w:t>
      </w:r>
      <w:r>
        <w:t xml:space="preserve"> za opóźnienie w</w:t>
      </w:r>
      <w:r w:rsidR="003964EC">
        <w:t> </w:t>
      </w:r>
      <w:r>
        <w:t>zapłacie – pod warunkiem spłaty w maksymalnie 24 miesięcznych ratach nieumorzonej części zadłużenia i regularnego wnoszenia opłat z tytułu najmu lokalu mieszkalnego lub bezumownego korzystania z lokalu mieszkalnego przez okres równy liczbie udzielonych rat</w:t>
      </w:r>
      <w:r w:rsidR="003964EC">
        <w:t>,</w:t>
      </w:r>
    </w:p>
    <w:p w:rsidR="00AA20E1" w:rsidRDefault="00AA20E1" w:rsidP="00FD4535">
      <w:pPr>
        <w:pStyle w:val="Akapitzlist"/>
        <w:numPr>
          <w:ilvl w:val="0"/>
          <w:numId w:val="6"/>
        </w:numPr>
        <w:ind w:hanging="294"/>
        <w:jc w:val="both"/>
      </w:pPr>
      <w:proofErr w:type="gramStart"/>
      <w:r w:rsidRPr="003964EC">
        <w:rPr>
          <w:b/>
        </w:rPr>
        <w:t>umorzenie</w:t>
      </w:r>
      <w:proofErr w:type="gramEnd"/>
      <w:r w:rsidRPr="003964EC">
        <w:rPr>
          <w:b/>
        </w:rPr>
        <w:t xml:space="preserve"> 70% należności głównej i kosztów postępowań oraz 100%</w:t>
      </w:r>
      <w:r>
        <w:t xml:space="preserve"> odsetek za opóźnienie w</w:t>
      </w:r>
      <w:r w:rsidR="003964EC">
        <w:t> </w:t>
      </w:r>
      <w:r>
        <w:t>zapłacie – pod warunkiem spłaty w maksymalnie 6 miesięcznych ratach nieumorzonej części zadłużenia i regularnego wnoszenia opłat z tytułu najmu lokalu mieszkalnego lub bezumownego korzystania z lokalu mieszkalnego przez okres równy liczbie udzielonych rat</w:t>
      </w:r>
      <w:r w:rsidR="003964EC">
        <w:t>.</w:t>
      </w:r>
    </w:p>
    <w:p w:rsidR="00AA20E1" w:rsidRPr="003964EC" w:rsidRDefault="00AA20E1" w:rsidP="003964EC">
      <w:pPr>
        <w:spacing w:after="60"/>
        <w:ind w:left="425"/>
        <w:jc w:val="both"/>
        <w:rPr>
          <w:b/>
        </w:rPr>
      </w:pPr>
      <w:r w:rsidRPr="003964EC">
        <w:rPr>
          <w:b/>
        </w:rPr>
        <w:t>W roku 2018 r. na mocy powyższej uchwały dokonano umorzeń należności gminy na łączną kwotę</w:t>
      </w:r>
      <w:r w:rsidR="003964EC" w:rsidRPr="003964EC">
        <w:rPr>
          <w:b/>
        </w:rPr>
        <w:t xml:space="preserve"> </w:t>
      </w:r>
      <w:r w:rsidRPr="003964EC">
        <w:rPr>
          <w:b/>
        </w:rPr>
        <w:t>380</w:t>
      </w:r>
      <w:r w:rsidR="003964EC" w:rsidRPr="003964EC">
        <w:rPr>
          <w:b/>
        </w:rPr>
        <w:t> </w:t>
      </w:r>
      <w:r w:rsidRPr="003964EC">
        <w:rPr>
          <w:b/>
        </w:rPr>
        <w:t>325,42 zł.</w:t>
      </w:r>
    </w:p>
    <w:p w:rsidR="00AA20E1" w:rsidRPr="003964EC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3964EC">
        <w:rPr>
          <w:b/>
        </w:rPr>
        <w:t>odpracowanie</w:t>
      </w:r>
      <w:proofErr w:type="gramEnd"/>
      <w:r w:rsidRPr="003964EC">
        <w:rPr>
          <w:b/>
        </w:rPr>
        <w:t xml:space="preserve"> zaległości (świadczenie rzeczowe na rzecz gminy Sosnowiec)</w:t>
      </w:r>
      <w:r w:rsidR="003964EC">
        <w:rPr>
          <w:b/>
        </w:rPr>
        <w:t>;</w:t>
      </w:r>
    </w:p>
    <w:p w:rsidR="00AA20E1" w:rsidRDefault="003964EC" w:rsidP="003964EC">
      <w:pPr>
        <w:spacing w:after="60"/>
        <w:ind w:left="425"/>
        <w:jc w:val="both"/>
      </w:pPr>
      <w:r>
        <w:t>P</w:t>
      </w:r>
      <w:r w:rsidR="00AA20E1">
        <w:t xml:space="preserve">odstawa prawna: </w:t>
      </w:r>
      <w:r w:rsidR="00686FD9">
        <w:t>z</w:t>
      </w:r>
      <w:r w:rsidR="00AA20E1">
        <w:t>arządzenie nr 618 Prezydenta Miasta Sosnowca z dnia 11 czerwca 2012 r.</w:t>
      </w:r>
      <w:r>
        <w:t xml:space="preserve"> </w:t>
      </w:r>
      <w:r w:rsidR="00AA20E1">
        <w:t>w</w:t>
      </w:r>
      <w:r w:rsidR="00686FD9">
        <w:t> </w:t>
      </w:r>
      <w:r w:rsidR="00AA20E1">
        <w:t>sprawie: przyjęcia Programu ułatwienia spłaty zadłużenia za lokale gminne osobom będącym w</w:t>
      </w:r>
      <w:r w:rsidR="00686FD9">
        <w:t> </w:t>
      </w:r>
      <w:r w:rsidR="00AA20E1">
        <w:t>trudnej sytuacji materialnej i życiowej w formie odpracowania należności na rzecz gminy Sosnowiec.</w:t>
      </w:r>
    </w:p>
    <w:p w:rsidR="00AA20E1" w:rsidRDefault="00686FD9" w:rsidP="003964EC">
      <w:pPr>
        <w:spacing w:after="60"/>
        <w:ind w:left="425"/>
        <w:jc w:val="both"/>
      </w:pPr>
      <w:r>
        <w:t>W</w:t>
      </w:r>
      <w:r w:rsidR="00AA20E1">
        <w:t xml:space="preserve"> okresie od sierpnia 2012 r. do marca 2019 r. odpracowano łączną kwotę </w:t>
      </w:r>
      <w:r w:rsidR="00AA20E1" w:rsidRPr="00686FD9">
        <w:rPr>
          <w:b/>
        </w:rPr>
        <w:t>3</w:t>
      </w:r>
      <w:r w:rsidRPr="00686FD9">
        <w:rPr>
          <w:b/>
        </w:rPr>
        <w:t> </w:t>
      </w:r>
      <w:r w:rsidR="00AA20E1" w:rsidRPr="00686FD9">
        <w:rPr>
          <w:b/>
        </w:rPr>
        <w:t>034</w:t>
      </w:r>
      <w:r w:rsidRPr="00686FD9">
        <w:rPr>
          <w:b/>
        </w:rPr>
        <w:t> </w:t>
      </w:r>
      <w:r w:rsidR="00AA20E1" w:rsidRPr="00686FD9">
        <w:rPr>
          <w:b/>
        </w:rPr>
        <w:t>023,03 zł</w:t>
      </w:r>
      <w:r>
        <w:t xml:space="preserve"> </w:t>
      </w:r>
      <w:r w:rsidR="00AA20E1">
        <w:t xml:space="preserve">(w miesiącu marcu 2019 r. była to kwota </w:t>
      </w:r>
      <w:r w:rsidR="00AA20E1" w:rsidRPr="00686FD9">
        <w:rPr>
          <w:b/>
        </w:rPr>
        <w:t>25</w:t>
      </w:r>
      <w:r w:rsidR="00F97F2F">
        <w:rPr>
          <w:b/>
        </w:rPr>
        <w:t> </w:t>
      </w:r>
      <w:r w:rsidR="00AA20E1" w:rsidRPr="00686FD9">
        <w:rPr>
          <w:b/>
        </w:rPr>
        <w:t>574,33 zł</w:t>
      </w:r>
      <w:r w:rsidR="00AA20E1">
        <w:t>).</w:t>
      </w:r>
    </w:p>
    <w:p w:rsidR="00686FD9" w:rsidRDefault="00686FD9">
      <w:pPr>
        <w:rPr>
          <w:b/>
        </w:rPr>
      </w:pPr>
      <w:r>
        <w:rPr>
          <w:b/>
        </w:rPr>
        <w:br w:type="page"/>
      </w:r>
    </w:p>
    <w:p w:rsidR="00AA20E1" w:rsidRPr="00686FD9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686FD9">
        <w:rPr>
          <w:b/>
        </w:rPr>
        <w:lastRenderedPageBreak/>
        <w:t>zamiana</w:t>
      </w:r>
      <w:proofErr w:type="gramEnd"/>
      <w:r w:rsidRPr="00686FD9">
        <w:rPr>
          <w:b/>
        </w:rPr>
        <w:t xml:space="preserve"> zajmowanego lokalu mieszkalnego na mni</w:t>
      </w:r>
      <w:r w:rsidR="00686FD9">
        <w:rPr>
          <w:b/>
        </w:rPr>
        <w:t>ejszy lub o niższym standardzie;</w:t>
      </w:r>
    </w:p>
    <w:p w:rsidR="00AA20E1" w:rsidRDefault="00686FD9" w:rsidP="00686FD9">
      <w:pPr>
        <w:spacing w:after="60"/>
        <w:ind w:left="425"/>
        <w:jc w:val="both"/>
      </w:pPr>
      <w:r>
        <w:t>P</w:t>
      </w:r>
      <w:r w:rsidR="00AA20E1">
        <w:t>odstawa prawna: uchwała nr 96/X/2015 Rady Miejskiej w Sosnowcu z dnia 24 kwietnia 2015 r.</w:t>
      </w:r>
      <w:r>
        <w:t xml:space="preserve"> </w:t>
      </w:r>
      <w:r w:rsidR="00AA20E1">
        <w:t>w</w:t>
      </w:r>
      <w:r>
        <w:t> </w:t>
      </w:r>
      <w:r w:rsidR="00AA20E1">
        <w:t>sprawie: zasad oraz kryteriów wynajmowania lokali wchodzących w skład mieszkaniowego zasobu Gminy Sosnowiec</w:t>
      </w:r>
    </w:p>
    <w:p w:rsidR="00AA20E1" w:rsidRDefault="00AA20E1" w:rsidP="00686FD9">
      <w:pPr>
        <w:spacing w:after="60"/>
        <w:ind w:left="425"/>
        <w:jc w:val="both"/>
      </w:pPr>
      <w:r>
        <w:t xml:space="preserve">W 2018r. zgodnie z par. 12.5 ww. uchwały </w:t>
      </w:r>
      <w:r w:rsidR="00686FD9">
        <w:t>-</w:t>
      </w:r>
      <w:r>
        <w:t xml:space="preserve"> dokonano 7 zamian.</w:t>
      </w:r>
    </w:p>
    <w:p w:rsidR="00AA20E1" w:rsidRPr="00686FD9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686FD9">
        <w:rPr>
          <w:b/>
        </w:rPr>
        <w:t>obniżka</w:t>
      </w:r>
      <w:proofErr w:type="gramEnd"/>
      <w:r w:rsidRPr="00686FD9">
        <w:rPr>
          <w:b/>
        </w:rPr>
        <w:t xml:space="preserve"> dochodowa czynszu</w:t>
      </w:r>
      <w:r w:rsidR="00D1180B">
        <w:rPr>
          <w:b/>
        </w:rPr>
        <w:t>;</w:t>
      </w:r>
    </w:p>
    <w:p w:rsidR="00AA20E1" w:rsidRDefault="00D1180B" w:rsidP="00D1180B">
      <w:pPr>
        <w:spacing w:after="60"/>
        <w:ind w:left="425"/>
        <w:jc w:val="both"/>
      </w:pPr>
      <w:r>
        <w:t>P</w:t>
      </w:r>
      <w:r w:rsidR="00AA20E1">
        <w:t xml:space="preserve">odstawa prawna: </w:t>
      </w:r>
      <w:r>
        <w:t>z</w:t>
      </w:r>
      <w:r w:rsidR="00AA20E1">
        <w:t>arządzenie Prezydenta Miasta Sosnowca nr 347 z dnia 15 maja 2018 r.</w:t>
      </w:r>
      <w:r>
        <w:t xml:space="preserve"> </w:t>
      </w:r>
      <w:r w:rsidR="00AA20E1">
        <w:t>w sprawie: stosowania obniżek czynszu najmu lokali mieszkalnych tworzących mieszkaniowy zasób Gminy Sosnowiec</w:t>
      </w:r>
      <w:r>
        <w:t>.</w:t>
      </w:r>
    </w:p>
    <w:p w:rsidR="00AA20E1" w:rsidRPr="00686FD9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686FD9">
        <w:rPr>
          <w:b/>
        </w:rPr>
        <w:t>montaż</w:t>
      </w:r>
      <w:proofErr w:type="gramEnd"/>
      <w:r w:rsidRPr="00686FD9">
        <w:rPr>
          <w:b/>
        </w:rPr>
        <w:t>/legalizacja wodomierza</w:t>
      </w:r>
      <w:r w:rsidR="00D1180B">
        <w:rPr>
          <w:b/>
        </w:rPr>
        <w:t>;</w:t>
      </w:r>
    </w:p>
    <w:p w:rsidR="00AA20E1" w:rsidRDefault="00D1180B" w:rsidP="00D1180B">
      <w:pPr>
        <w:spacing w:after="60"/>
        <w:ind w:left="425"/>
        <w:jc w:val="both"/>
      </w:pPr>
      <w:r>
        <w:t>P</w:t>
      </w:r>
      <w:r w:rsidR="00AA20E1">
        <w:t xml:space="preserve">odstawa prawna: zarządzenie </w:t>
      </w:r>
      <w:r>
        <w:t>n</w:t>
      </w:r>
      <w:r w:rsidR="00AA20E1">
        <w:t>r 27</w:t>
      </w:r>
      <w:r>
        <w:t>/2017</w:t>
      </w:r>
      <w:r w:rsidR="00AA20E1">
        <w:t xml:space="preserve"> Dyrektora MZZL z dnia 27 kwietnia 2017 r.</w:t>
      </w:r>
      <w:r>
        <w:t xml:space="preserve"> </w:t>
      </w:r>
      <w:r w:rsidR="00AA20E1">
        <w:t>w sprawie wprowadzenia Regulaminu rozliczania dostawy wody i odprowadzania ścieków w zasobach lokalowych zarządzanych przez Mi</w:t>
      </w:r>
      <w:r>
        <w:t>ejski Zakład Zasobów Lokalowych</w:t>
      </w:r>
      <w:r w:rsidR="00AA20E1">
        <w:t>.</w:t>
      </w:r>
    </w:p>
    <w:p w:rsidR="00D1180B" w:rsidRPr="00D1180B" w:rsidRDefault="00AA20E1" w:rsidP="00FD453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rPr>
          <w:b/>
        </w:rPr>
      </w:pPr>
      <w:proofErr w:type="gramStart"/>
      <w:r w:rsidRPr="00D1180B">
        <w:rPr>
          <w:b/>
        </w:rPr>
        <w:t>przywrócenie</w:t>
      </w:r>
      <w:proofErr w:type="gramEnd"/>
      <w:r w:rsidRPr="00D1180B">
        <w:rPr>
          <w:b/>
        </w:rPr>
        <w:t xml:space="preserve"> tytułu prawnego do zajmowanego lokalu</w:t>
      </w:r>
      <w:r w:rsidR="007A555C">
        <w:rPr>
          <w:b/>
        </w:rPr>
        <w:t>;</w:t>
      </w:r>
    </w:p>
    <w:p w:rsidR="00AA20E1" w:rsidRDefault="007A555C" w:rsidP="00D1180B">
      <w:pPr>
        <w:spacing w:after="60"/>
        <w:ind w:left="425"/>
        <w:jc w:val="both"/>
      </w:pPr>
      <w:r>
        <w:t xml:space="preserve">W </w:t>
      </w:r>
      <w:r w:rsidR="00AA20E1">
        <w:t>przypadku wypowiedzenia umowy</w:t>
      </w:r>
      <w:r w:rsidR="00D1180B">
        <w:t xml:space="preserve"> </w:t>
      </w:r>
      <w:r w:rsidR="00AA20E1">
        <w:t>z tytułu zaległości czynszowych (wyłącznie dla osób, które podczas mediacji udokumentowały trudną sytuację materialno</w:t>
      </w:r>
      <w:r>
        <w:t>-</w:t>
      </w:r>
      <w:r w:rsidR="00AA20E1">
        <w:t>bytową, aby mogły ubiegać się o dodatek mieszkaniowy z MOPS, w pozostałych przypadkach możliwość przywrócenia tytuł prawnego do zajmowanego lokalu jest rozpatrywana po całkowitej spłacie zaległości)</w:t>
      </w:r>
      <w:r>
        <w:t>.</w:t>
      </w:r>
    </w:p>
    <w:p w:rsidR="00AA20E1" w:rsidRPr="00D1180B" w:rsidRDefault="00AA20E1" w:rsidP="007A555C">
      <w:pPr>
        <w:ind w:left="426" w:hanging="426"/>
        <w:rPr>
          <w:b/>
        </w:rPr>
      </w:pPr>
      <w:r w:rsidRPr="00D1180B">
        <w:rPr>
          <w:b/>
        </w:rPr>
        <w:t>•</w:t>
      </w:r>
      <w:r w:rsidRPr="00D1180B">
        <w:rPr>
          <w:b/>
        </w:rPr>
        <w:tab/>
        <w:t>przyznanie dodatku mieszkaniowego (MOPS Sosnowiec)</w:t>
      </w:r>
      <w:r w:rsidR="007A555C">
        <w:rPr>
          <w:b/>
        </w:rPr>
        <w:t>;</w:t>
      </w:r>
    </w:p>
    <w:p w:rsidR="00AA20E1" w:rsidRDefault="007A555C" w:rsidP="007A555C">
      <w:pPr>
        <w:spacing w:after="60"/>
        <w:ind w:left="425"/>
        <w:jc w:val="both"/>
      </w:pPr>
      <w:r>
        <w:t>P</w:t>
      </w:r>
      <w:r w:rsidR="00AA20E1">
        <w:t xml:space="preserve">odstawa prawna: </w:t>
      </w:r>
      <w:r>
        <w:t>u</w:t>
      </w:r>
      <w:r w:rsidR="00AA20E1">
        <w:t>stawa z dnia 21 czerwca 2001 roku o dodatkach mieszkaniowych (tekst jednolity Dz.</w:t>
      </w:r>
      <w:r>
        <w:t> </w:t>
      </w:r>
      <w:r w:rsidR="00AA20E1">
        <w:t>U.</w:t>
      </w:r>
      <w:r>
        <w:t xml:space="preserve"> </w:t>
      </w:r>
      <w:proofErr w:type="gramStart"/>
      <w:r w:rsidR="00AA20E1">
        <w:t>z</w:t>
      </w:r>
      <w:proofErr w:type="gramEnd"/>
      <w:r w:rsidR="00AA20E1">
        <w:t xml:space="preserve"> 2017r., poz. 180), Rozporządzenie Ministra Transportu, Budownictwa i Gospodarki Morskiej</w:t>
      </w:r>
      <w:r>
        <w:t xml:space="preserve"> </w:t>
      </w:r>
      <w:r w:rsidR="00AA20E1">
        <w:t>z</w:t>
      </w:r>
      <w:r>
        <w:t> </w:t>
      </w:r>
      <w:r w:rsidR="00AA20E1">
        <w:t>dnia 26 kwietnia 2013r.w sprawie sposobu przeprowadzania wywiadu środowiskowego, wzoru kwestionariusza wywiadu oraz oświadczenia o stanie majątkowym wnioskodawcy i innych członków gospodarstwa domowego, a także wzoru legitymacji pracownika upoważnionego do przeprowadzenia wywiadu (Dz.</w:t>
      </w:r>
      <w:r>
        <w:t> </w:t>
      </w:r>
      <w:r w:rsidR="00AA20E1">
        <w:t xml:space="preserve">U. </w:t>
      </w:r>
      <w:proofErr w:type="gramStart"/>
      <w:r w:rsidR="00AA20E1">
        <w:t>z</w:t>
      </w:r>
      <w:proofErr w:type="gramEnd"/>
      <w:r w:rsidR="00AA20E1">
        <w:t xml:space="preserve"> dnia 22 maja 2013 r.); Rozporządzenie Rady Ministrów z dnia 28 grudnia 2001r. w</w:t>
      </w:r>
      <w:r>
        <w:t> </w:t>
      </w:r>
      <w:r w:rsidR="00AA20E1">
        <w:t>sprawie dodatków mieszkaniowych (Dz.</w:t>
      </w:r>
      <w:r>
        <w:t> </w:t>
      </w:r>
      <w:r w:rsidR="00AA20E1">
        <w:t xml:space="preserve">U. </w:t>
      </w:r>
      <w:proofErr w:type="gramStart"/>
      <w:r w:rsidR="00AA20E1">
        <w:t>nr</w:t>
      </w:r>
      <w:proofErr w:type="gramEnd"/>
      <w:r w:rsidR="00AA20E1">
        <w:t xml:space="preserve"> 156 poz.1817 z </w:t>
      </w:r>
      <w:proofErr w:type="spellStart"/>
      <w:r w:rsidR="00F97F2F" w:rsidRPr="00F97F2F">
        <w:t>późn</w:t>
      </w:r>
      <w:proofErr w:type="spellEnd"/>
      <w:r w:rsidR="00F97F2F" w:rsidRPr="00F97F2F">
        <w:t>. zm</w:t>
      </w:r>
      <w:bookmarkStart w:id="4" w:name="_GoBack"/>
      <w:bookmarkEnd w:id="4"/>
      <w:r w:rsidR="00AA20E1">
        <w:t xml:space="preserve">). Ustawa z dnia 14 czerwca 1960 r. Kodeks Postępowania Administracyjnego (tekst jednolity Dz. U. </w:t>
      </w:r>
      <w:proofErr w:type="gramStart"/>
      <w:r w:rsidR="00AA20E1">
        <w:t>z</w:t>
      </w:r>
      <w:proofErr w:type="gramEnd"/>
      <w:r w:rsidR="00AA20E1">
        <w:t xml:space="preserve"> 2017r., poz. 1257 z</w:t>
      </w:r>
      <w:r>
        <w:t> </w:t>
      </w:r>
      <w:proofErr w:type="spellStart"/>
      <w:r w:rsidR="00AA20E1">
        <w:t>późn</w:t>
      </w:r>
      <w:proofErr w:type="spellEnd"/>
      <w:r w:rsidR="00F97F2F">
        <w:t>.</w:t>
      </w:r>
      <w:r w:rsidR="00AA20E1">
        <w:t xml:space="preserve"> </w:t>
      </w:r>
      <w:proofErr w:type="gramStart"/>
      <w:r w:rsidR="00AA20E1">
        <w:t>zm</w:t>
      </w:r>
      <w:proofErr w:type="gramEnd"/>
      <w:r w:rsidR="00F97F2F">
        <w:t>.</w:t>
      </w:r>
      <w:r w:rsidR="00AA20E1">
        <w:t>).</w:t>
      </w:r>
    </w:p>
    <w:p w:rsidR="00AA20E1" w:rsidRDefault="00AA20E1" w:rsidP="00AA20E1"/>
    <w:p w:rsidR="00CC4252" w:rsidRPr="007A555C" w:rsidRDefault="00AA20E1" w:rsidP="007A555C">
      <w:pPr>
        <w:spacing w:after="60"/>
        <w:rPr>
          <w:b/>
          <w:sz w:val="20"/>
          <w:szCs w:val="20"/>
        </w:rPr>
      </w:pPr>
      <w:r w:rsidRPr="007A555C">
        <w:rPr>
          <w:b/>
          <w:sz w:val="20"/>
          <w:szCs w:val="20"/>
        </w:rPr>
        <w:t>Tabela nr 10. Ilość przeprowadzonych eksmisji komorniczych w latach 2016 - 2018</w:t>
      </w:r>
    </w:p>
    <w:tbl>
      <w:tblPr>
        <w:tblW w:w="429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2"/>
        <w:gridCol w:w="1298"/>
        <w:gridCol w:w="1298"/>
        <w:gridCol w:w="1298"/>
      </w:tblGrid>
      <w:tr w:rsidR="00995F7B" w:rsidRPr="007A555C" w:rsidTr="00F97F2F">
        <w:trPr>
          <w:trHeight w:val="352"/>
          <w:tblCellSpacing w:w="0" w:type="dxa"/>
          <w:jc w:val="center"/>
        </w:trPr>
        <w:tc>
          <w:tcPr>
            <w:tcW w:w="2714" w:type="pct"/>
            <w:shd w:val="clear" w:color="auto" w:fill="C2D69B" w:themeFill="accent3" w:themeFillTint="99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62" w:type="pct"/>
            <w:shd w:val="clear" w:color="auto" w:fill="C2D69B" w:themeFill="accent3" w:themeFillTint="99"/>
            <w:vAlign w:val="center"/>
            <w:hideMark/>
          </w:tcPr>
          <w:p w:rsidR="007A555C" w:rsidRPr="007A555C" w:rsidRDefault="00995F7B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62" w:type="pct"/>
            <w:shd w:val="clear" w:color="auto" w:fill="C2D69B" w:themeFill="accent3" w:themeFillTint="99"/>
            <w:vAlign w:val="center"/>
            <w:hideMark/>
          </w:tcPr>
          <w:p w:rsidR="007A555C" w:rsidRPr="007A555C" w:rsidRDefault="00995F7B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62" w:type="pct"/>
            <w:shd w:val="clear" w:color="auto" w:fill="C2D69B" w:themeFill="accent3" w:themeFillTint="99"/>
            <w:vAlign w:val="center"/>
            <w:hideMark/>
          </w:tcPr>
          <w:p w:rsidR="007A555C" w:rsidRPr="007A555C" w:rsidRDefault="00995F7B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7A555C" w:rsidRPr="007A555C" w:rsidTr="00F97F2F">
        <w:trPr>
          <w:trHeight w:val="389"/>
          <w:tblCellSpacing w:w="0" w:type="dxa"/>
          <w:jc w:val="center"/>
        </w:trPr>
        <w:tc>
          <w:tcPr>
            <w:tcW w:w="2714" w:type="pct"/>
            <w:vAlign w:val="center"/>
            <w:hideMark/>
          </w:tcPr>
          <w:p w:rsidR="007A555C" w:rsidRPr="007A555C" w:rsidRDefault="004C49C1" w:rsidP="00995F7B">
            <w:pPr>
              <w:spacing w:line="240" w:lineRule="auto"/>
              <w:ind w:left="-442"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A555C" w:rsidRPr="007A555C">
              <w:rPr>
                <w:sz w:val="20"/>
                <w:szCs w:val="20"/>
              </w:rPr>
              <w:t>ksmisje do noclegowni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16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51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14</w:t>
            </w:r>
          </w:p>
        </w:tc>
      </w:tr>
      <w:tr w:rsidR="007A555C" w:rsidRPr="007A555C" w:rsidTr="00F97F2F">
        <w:trPr>
          <w:trHeight w:val="383"/>
          <w:tblCellSpacing w:w="0" w:type="dxa"/>
          <w:jc w:val="center"/>
        </w:trPr>
        <w:tc>
          <w:tcPr>
            <w:tcW w:w="2714" w:type="pct"/>
            <w:vAlign w:val="center"/>
            <w:hideMark/>
          </w:tcPr>
          <w:p w:rsidR="007A555C" w:rsidRPr="007A555C" w:rsidRDefault="004C49C1" w:rsidP="00995F7B">
            <w:pPr>
              <w:spacing w:line="240" w:lineRule="auto"/>
              <w:ind w:left="-442"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A555C" w:rsidRPr="007A555C">
              <w:rPr>
                <w:sz w:val="20"/>
                <w:szCs w:val="20"/>
              </w:rPr>
              <w:t>ksmisje do lokalu socjalnego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7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15</w:t>
            </w:r>
          </w:p>
        </w:tc>
      </w:tr>
      <w:tr w:rsidR="007A555C" w:rsidRPr="007A555C" w:rsidTr="00F97F2F">
        <w:trPr>
          <w:trHeight w:val="293"/>
          <w:tblCellSpacing w:w="0" w:type="dxa"/>
          <w:jc w:val="center"/>
        </w:trPr>
        <w:tc>
          <w:tcPr>
            <w:tcW w:w="2714" w:type="pct"/>
            <w:vAlign w:val="center"/>
            <w:hideMark/>
          </w:tcPr>
          <w:p w:rsidR="007A555C" w:rsidRPr="007A555C" w:rsidRDefault="004C49C1" w:rsidP="00995F7B">
            <w:pPr>
              <w:spacing w:line="240" w:lineRule="auto"/>
              <w:ind w:left="-442"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A555C" w:rsidRPr="007A555C">
              <w:rPr>
                <w:sz w:val="20"/>
                <w:szCs w:val="20"/>
              </w:rPr>
              <w:t>ksmisje do pomieszczenia tymczasowego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0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9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23</w:t>
            </w:r>
          </w:p>
        </w:tc>
      </w:tr>
      <w:tr w:rsidR="007A555C" w:rsidRPr="007A555C" w:rsidTr="00F97F2F">
        <w:trPr>
          <w:trHeight w:val="189"/>
          <w:tblCellSpacing w:w="0" w:type="dxa"/>
          <w:jc w:val="center"/>
        </w:trPr>
        <w:tc>
          <w:tcPr>
            <w:tcW w:w="2714" w:type="pct"/>
            <w:vAlign w:val="center"/>
            <w:hideMark/>
          </w:tcPr>
          <w:p w:rsidR="007A555C" w:rsidRPr="007A555C" w:rsidRDefault="004C49C1" w:rsidP="00995F7B">
            <w:pPr>
              <w:spacing w:line="240" w:lineRule="auto"/>
              <w:ind w:left="-442"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A555C" w:rsidRPr="007A555C">
              <w:rPr>
                <w:sz w:val="20"/>
                <w:szCs w:val="20"/>
              </w:rPr>
              <w:t>ksmisyjne opróżnienie lokalu z rzeczy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1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6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sz w:val="20"/>
                <w:szCs w:val="20"/>
              </w:rPr>
              <w:t>2</w:t>
            </w:r>
          </w:p>
        </w:tc>
      </w:tr>
      <w:tr w:rsidR="007A555C" w:rsidRPr="007A555C" w:rsidTr="00F97F2F">
        <w:trPr>
          <w:trHeight w:val="345"/>
          <w:tblCellSpacing w:w="0" w:type="dxa"/>
          <w:jc w:val="center"/>
        </w:trPr>
        <w:tc>
          <w:tcPr>
            <w:tcW w:w="2714" w:type="pct"/>
            <w:vAlign w:val="center"/>
            <w:hideMark/>
          </w:tcPr>
          <w:p w:rsidR="007A555C" w:rsidRPr="007A555C" w:rsidRDefault="004C49C1" w:rsidP="00995F7B">
            <w:pPr>
              <w:spacing w:line="240" w:lineRule="auto"/>
              <w:ind w:left="-442"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62" w:type="pct"/>
            <w:vAlign w:val="center"/>
            <w:hideMark/>
          </w:tcPr>
          <w:p w:rsidR="007A555C" w:rsidRPr="007A555C" w:rsidRDefault="007A555C" w:rsidP="00995F7B">
            <w:pPr>
              <w:spacing w:line="240" w:lineRule="auto"/>
              <w:ind w:left="-442" w:firstLine="442"/>
              <w:jc w:val="center"/>
              <w:rPr>
                <w:sz w:val="20"/>
                <w:szCs w:val="20"/>
              </w:rPr>
            </w:pPr>
            <w:r w:rsidRPr="007A555C">
              <w:rPr>
                <w:b/>
                <w:bCs/>
                <w:sz w:val="20"/>
                <w:szCs w:val="20"/>
              </w:rPr>
              <w:t>54</w:t>
            </w:r>
          </w:p>
        </w:tc>
      </w:tr>
    </w:tbl>
    <w:p w:rsidR="0019137B" w:rsidRPr="006F1FB8" w:rsidRDefault="0019137B" w:rsidP="006F1FB8"/>
    <w:sectPr w:rsidR="0019137B" w:rsidRPr="006F1FB8" w:rsidSect="003E63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021" w:bottom="130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35" w:rsidRDefault="00FD4535" w:rsidP="00107A70">
      <w:pPr>
        <w:spacing w:line="240" w:lineRule="auto"/>
      </w:pPr>
      <w:r>
        <w:separator/>
      </w:r>
    </w:p>
  </w:endnote>
  <w:endnote w:type="continuationSeparator" w:id="0">
    <w:p w:rsidR="00FD4535" w:rsidRDefault="00FD4535" w:rsidP="0010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19137B" w:rsidTr="00817E18">
      <w:tc>
        <w:tcPr>
          <w:tcW w:w="3260" w:type="dxa"/>
        </w:tcPr>
        <w:p w:rsidR="0019137B" w:rsidRPr="000154E3" w:rsidRDefault="0019137B" w:rsidP="002A030B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260" w:type="dxa"/>
        </w:tcPr>
        <w:p w:rsidR="0019137B" w:rsidRPr="000154E3" w:rsidRDefault="0019137B" w:rsidP="009E059C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261" w:type="dxa"/>
        </w:tcPr>
        <w:p w:rsidR="0019137B" w:rsidRPr="000154E3" w:rsidRDefault="0019137B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814106">
            <w:rPr>
              <w:noProof/>
              <w:sz w:val="18"/>
              <w:szCs w:val="18"/>
            </w:rPr>
            <w:t>8</w:t>
          </w:r>
          <w:r w:rsidRPr="000154E3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814106">
            <w:rPr>
              <w:noProof/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9137B" w:rsidRDefault="00191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19137B" w:rsidTr="00ED0EA9">
      <w:tc>
        <w:tcPr>
          <w:tcW w:w="3260" w:type="dxa"/>
        </w:tcPr>
        <w:p w:rsidR="0019137B" w:rsidRPr="000154E3" w:rsidRDefault="0019137B" w:rsidP="002A030B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260" w:type="dxa"/>
          <w:vAlign w:val="center"/>
        </w:tcPr>
        <w:p w:rsidR="0019137B" w:rsidRPr="000154E3" w:rsidRDefault="0019137B" w:rsidP="00887236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261" w:type="dxa"/>
        </w:tcPr>
        <w:p w:rsidR="0019137B" w:rsidRPr="000154E3" w:rsidRDefault="0019137B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EF2C4C">
            <w:rPr>
              <w:noProof/>
              <w:sz w:val="18"/>
              <w:szCs w:val="18"/>
            </w:rPr>
            <w:t>1</w:t>
          </w:r>
          <w:r w:rsidRPr="000154E3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EF2C4C">
            <w:rPr>
              <w:noProof/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9137B" w:rsidRDefault="00191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35" w:rsidRDefault="00FD4535" w:rsidP="00107A70">
      <w:pPr>
        <w:spacing w:line="240" w:lineRule="auto"/>
      </w:pPr>
      <w:r>
        <w:separator/>
      </w:r>
    </w:p>
  </w:footnote>
  <w:footnote w:type="continuationSeparator" w:id="0">
    <w:p w:rsidR="00FD4535" w:rsidRDefault="00FD4535" w:rsidP="00107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371"/>
    </w:tblGrid>
    <w:tr w:rsidR="0019137B" w:rsidTr="00724BED">
      <w:trPr>
        <w:trHeight w:val="913"/>
      </w:trPr>
      <w:tc>
        <w:tcPr>
          <w:tcW w:w="2410" w:type="dxa"/>
        </w:tcPr>
        <w:p w:rsidR="0019137B" w:rsidRDefault="0019137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6BB6F614" wp14:editId="650B5F0A">
                <wp:simplePos x="0" y="0"/>
                <wp:positionH relativeFrom="column">
                  <wp:posOffset>-120489</wp:posOffset>
                </wp:positionH>
                <wp:positionV relativeFrom="paragraph">
                  <wp:posOffset>-109220</wp:posOffset>
                </wp:positionV>
                <wp:extent cx="1471295" cy="702310"/>
                <wp:effectExtent l="0" t="0" r="0" b="254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bottom"/>
        </w:tcPr>
        <w:p w:rsidR="004C49C1" w:rsidRPr="004C49C1" w:rsidRDefault="004C49C1" w:rsidP="004C49C1">
          <w:pPr>
            <w:pStyle w:val="Nagwek"/>
            <w:ind w:right="-108"/>
            <w:jc w:val="right"/>
            <w:rPr>
              <w:sz w:val="18"/>
              <w:szCs w:val="18"/>
            </w:rPr>
          </w:pPr>
          <w:r w:rsidRPr="004C49C1">
            <w:rPr>
              <w:sz w:val="18"/>
              <w:szCs w:val="18"/>
            </w:rPr>
            <w:t xml:space="preserve">Informacja na posiedzenie Komisji Gospodarki Komunalnej </w:t>
          </w:r>
        </w:p>
        <w:p w:rsidR="0019137B" w:rsidRPr="00280B0E" w:rsidRDefault="004C49C1" w:rsidP="004C49C1">
          <w:pPr>
            <w:pStyle w:val="Nagwek"/>
            <w:ind w:right="-108"/>
            <w:jc w:val="right"/>
            <w:rPr>
              <w:sz w:val="18"/>
              <w:szCs w:val="18"/>
            </w:rPr>
          </w:pPr>
          <w:proofErr w:type="gramStart"/>
          <w:r w:rsidRPr="004C49C1">
            <w:rPr>
              <w:sz w:val="18"/>
              <w:szCs w:val="18"/>
            </w:rPr>
            <w:t>i</w:t>
          </w:r>
          <w:proofErr w:type="gramEnd"/>
          <w:r w:rsidRPr="004C49C1">
            <w:rPr>
              <w:sz w:val="18"/>
              <w:szCs w:val="18"/>
            </w:rPr>
            <w:t xml:space="preserve"> Komunikacji w dniu 17.04.2019 </w:t>
          </w:r>
          <w:proofErr w:type="gramStart"/>
          <w:r w:rsidRPr="004C49C1">
            <w:rPr>
              <w:sz w:val="18"/>
              <w:szCs w:val="18"/>
            </w:rPr>
            <w:t>r</w:t>
          </w:r>
          <w:proofErr w:type="gramEnd"/>
          <w:r w:rsidRPr="004C49C1">
            <w:rPr>
              <w:sz w:val="18"/>
              <w:szCs w:val="18"/>
            </w:rPr>
            <w:t>.</w:t>
          </w:r>
        </w:p>
      </w:tc>
    </w:tr>
  </w:tbl>
  <w:p w:rsidR="0019137B" w:rsidRPr="00056C0A" w:rsidRDefault="00191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66335" wp14:editId="67689ECD">
              <wp:simplePos x="0" y="0"/>
              <wp:positionH relativeFrom="column">
                <wp:posOffset>-10795</wp:posOffset>
              </wp:positionH>
              <wp:positionV relativeFrom="paragraph">
                <wp:posOffset>56767</wp:posOffset>
              </wp:positionV>
              <wp:extent cx="6202393" cy="0"/>
              <wp:effectExtent l="0" t="0" r="2730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39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45pt" to="487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229"/>
    </w:tblGrid>
    <w:tr w:rsidR="004C49C1" w:rsidTr="00B2150A">
      <w:trPr>
        <w:trHeight w:val="913"/>
      </w:trPr>
      <w:tc>
        <w:tcPr>
          <w:tcW w:w="2552" w:type="dxa"/>
        </w:tcPr>
        <w:p w:rsidR="004C49C1" w:rsidRDefault="004C49C1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53FBCF7D" wp14:editId="7E53D5BC">
                <wp:simplePos x="0" y="0"/>
                <wp:positionH relativeFrom="column">
                  <wp:posOffset>-101439</wp:posOffset>
                </wp:positionH>
                <wp:positionV relativeFrom="paragraph">
                  <wp:posOffset>-100330</wp:posOffset>
                </wp:positionV>
                <wp:extent cx="1472400" cy="702000"/>
                <wp:effectExtent l="0" t="0" r="0" b="317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4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vAlign w:val="center"/>
        </w:tcPr>
        <w:p w:rsidR="004C49C1" w:rsidRPr="004C49C1" w:rsidRDefault="004C49C1" w:rsidP="004C49C1">
          <w:pPr>
            <w:pStyle w:val="Nagwek"/>
            <w:ind w:right="-108"/>
            <w:jc w:val="center"/>
            <w:rPr>
              <w:b/>
              <w:sz w:val="24"/>
              <w:szCs w:val="24"/>
            </w:rPr>
          </w:pPr>
          <w:r w:rsidRPr="004C49C1">
            <w:rPr>
              <w:b/>
              <w:sz w:val="24"/>
              <w:szCs w:val="24"/>
            </w:rPr>
            <w:t>Informacja na posiedzenie Komisji Gospodarki Komunalnej</w:t>
          </w:r>
        </w:p>
        <w:p w:rsidR="004C49C1" w:rsidRPr="007D5A06" w:rsidRDefault="004C49C1" w:rsidP="004C49C1">
          <w:pPr>
            <w:pStyle w:val="Nagwek"/>
            <w:ind w:right="-108"/>
            <w:jc w:val="center"/>
            <w:rPr>
              <w:sz w:val="18"/>
              <w:szCs w:val="18"/>
            </w:rPr>
          </w:pPr>
          <w:proofErr w:type="gramStart"/>
          <w:r w:rsidRPr="004C49C1">
            <w:rPr>
              <w:b/>
              <w:sz w:val="24"/>
              <w:szCs w:val="24"/>
            </w:rPr>
            <w:t>i</w:t>
          </w:r>
          <w:proofErr w:type="gramEnd"/>
          <w:r w:rsidRPr="004C49C1">
            <w:rPr>
              <w:b/>
              <w:sz w:val="24"/>
              <w:szCs w:val="24"/>
            </w:rPr>
            <w:t xml:space="preserve"> Komunikacji w dniu 17.04.2019 </w:t>
          </w:r>
          <w:proofErr w:type="gramStart"/>
          <w:r w:rsidRPr="004C49C1">
            <w:rPr>
              <w:b/>
              <w:sz w:val="24"/>
              <w:szCs w:val="24"/>
            </w:rPr>
            <w:t>r</w:t>
          </w:r>
          <w:proofErr w:type="gramEnd"/>
          <w:r w:rsidRPr="004C49C1">
            <w:rPr>
              <w:b/>
              <w:sz w:val="28"/>
              <w:szCs w:val="28"/>
            </w:rPr>
            <w:t>.</w:t>
          </w:r>
        </w:p>
      </w:tc>
    </w:tr>
  </w:tbl>
  <w:p w:rsidR="0019137B" w:rsidRDefault="00191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0492B" wp14:editId="25F3AD05">
              <wp:simplePos x="0" y="0"/>
              <wp:positionH relativeFrom="column">
                <wp:posOffset>1905</wp:posOffset>
              </wp:positionH>
              <wp:positionV relativeFrom="paragraph">
                <wp:posOffset>84455</wp:posOffset>
              </wp:positionV>
              <wp:extent cx="6176010" cy="0"/>
              <wp:effectExtent l="0" t="0" r="1524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6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65pt" to="48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DE7"/>
    <w:multiLevelType w:val="hybridMultilevel"/>
    <w:tmpl w:val="6D3E508A"/>
    <w:lvl w:ilvl="0" w:tplc="F7EE14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37CB"/>
    <w:multiLevelType w:val="hybridMultilevel"/>
    <w:tmpl w:val="61B8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4B3C"/>
    <w:multiLevelType w:val="hybridMultilevel"/>
    <w:tmpl w:val="0A7E080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DE1"/>
    <w:multiLevelType w:val="hybridMultilevel"/>
    <w:tmpl w:val="23EA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5C70"/>
    <w:multiLevelType w:val="hybridMultilevel"/>
    <w:tmpl w:val="EEB8A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2822"/>
    <w:multiLevelType w:val="hybridMultilevel"/>
    <w:tmpl w:val="98D0E0E0"/>
    <w:lvl w:ilvl="0" w:tplc="4668853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7BE4"/>
    <w:multiLevelType w:val="hybridMultilevel"/>
    <w:tmpl w:val="7CBE2B0A"/>
    <w:lvl w:ilvl="0" w:tplc="4668853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C"/>
    <w:rsid w:val="00000856"/>
    <w:rsid w:val="00000C53"/>
    <w:rsid w:val="000055A9"/>
    <w:rsid w:val="00012423"/>
    <w:rsid w:val="000154E3"/>
    <w:rsid w:val="0002486E"/>
    <w:rsid w:val="00033191"/>
    <w:rsid w:val="00036CD1"/>
    <w:rsid w:val="00044FDA"/>
    <w:rsid w:val="000471B2"/>
    <w:rsid w:val="000518AC"/>
    <w:rsid w:val="00052AE4"/>
    <w:rsid w:val="00056C0A"/>
    <w:rsid w:val="00060ADD"/>
    <w:rsid w:val="0007214C"/>
    <w:rsid w:val="000743D9"/>
    <w:rsid w:val="00087F94"/>
    <w:rsid w:val="000A221D"/>
    <w:rsid w:val="000A4C6F"/>
    <w:rsid w:val="000B2D13"/>
    <w:rsid w:val="000B3340"/>
    <w:rsid w:val="000D1903"/>
    <w:rsid w:val="000D2583"/>
    <w:rsid w:val="000D28C0"/>
    <w:rsid w:val="000D4F0C"/>
    <w:rsid w:val="00107A70"/>
    <w:rsid w:val="0011347C"/>
    <w:rsid w:val="001258BF"/>
    <w:rsid w:val="0013792E"/>
    <w:rsid w:val="00177E93"/>
    <w:rsid w:val="00180427"/>
    <w:rsid w:val="00182996"/>
    <w:rsid w:val="0019137B"/>
    <w:rsid w:val="001A2931"/>
    <w:rsid w:val="001C018E"/>
    <w:rsid w:val="001E646A"/>
    <w:rsid w:val="00255B4E"/>
    <w:rsid w:val="0026436B"/>
    <w:rsid w:val="00270E8B"/>
    <w:rsid w:val="00280B0E"/>
    <w:rsid w:val="00285611"/>
    <w:rsid w:val="002950BA"/>
    <w:rsid w:val="002A030B"/>
    <w:rsid w:val="002C2AD5"/>
    <w:rsid w:val="002E1BD4"/>
    <w:rsid w:val="00330F84"/>
    <w:rsid w:val="00336CF0"/>
    <w:rsid w:val="00354BB7"/>
    <w:rsid w:val="003648D9"/>
    <w:rsid w:val="003964EC"/>
    <w:rsid w:val="003D4F94"/>
    <w:rsid w:val="003E2FB7"/>
    <w:rsid w:val="003E63E4"/>
    <w:rsid w:val="003F487E"/>
    <w:rsid w:val="003F68A7"/>
    <w:rsid w:val="0044478A"/>
    <w:rsid w:val="00454C2E"/>
    <w:rsid w:val="0045651F"/>
    <w:rsid w:val="004572D5"/>
    <w:rsid w:val="00462584"/>
    <w:rsid w:val="00467DEB"/>
    <w:rsid w:val="00473A0F"/>
    <w:rsid w:val="00475BBE"/>
    <w:rsid w:val="00476A26"/>
    <w:rsid w:val="004832A0"/>
    <w:rsid w:val="00490909"/>
    <w:rsid w:val="00497287"/>
    <w:rsid w:val="004B6EDC"/>
    <w:rsid w:val="004C355B"/>
    <w:rsid w:val="004C49C1"/>
    <w:rsid w:val="004C571C"/>
    <w:rsid w:val="004C652B"/>
    <w:rsid w:val="004C7DC7"/>
    <w:rsid w:val="004F67E8"/>
    <w:rsid w:val="00506F82"/>
    <w:rsid w:val="0051263B"/>
    <w:rsid w:val="005156BF"/>
    <w:rsid w:val="00530339"/>
    <w:rsid w:val="005419A3"/>
    <w:rsid w:val="00561478"/>
    <w:rsid w:val="00564EB0"/>
    <w:rsid w:val="00575292"/>
    <w:rsid w:val="005B5B9D"/>
    <w:rsid w:val="005C0D2C"/>
    <w:rsid w:val="005E574A"/>
    <w:rsid w:val="005E5871"/>
    <w:rsid w:val="006404FF"/>
    <w:rsid w:val="006567B7"/>
    <w:rsid w:val="00686FD9"/>
    <w:rsid w:val="006E1F7B"/>
    <w:rsid w:val="006F1FB8"/>
    <w:rsid w:val="006F22DB"/>
    <w:rsid w:val="006F5822"/>
    <w:rsid w:val="006F74DF"/>
    <w:rsid w:val="007112D0"/>
    <w:rsid w:val="007239E4"/>
    <w:rsid w:val="00724624"/>
    <w:rsid w:val="00724BED"/>
    <w:rsid w:val="0073579E"/>
    <w:rsid w:val="00756D11"/>
    <w:rsid w:val="00772564"/>
    <w:rsid w:val="0079177E"/>
    <w:rsid w:val="007953A2"/>
    <w:rsid w:val="007A555C"/>
    <w:rsid w:val="007A66E9"/>
    <w:rsid w:val="007B4F4E"/>
    <w:rsid w:val="007D5A06"/>
    <w:rsid w:val="00814106"/>
    <w:rsid w:val="00817E18"/>
    <w:rsid w:val="00825769"/>
    <w:rsid w:val="00836460"/>
    <w:rsid w:val="00872E35"/>
    <w:rsid w:val="008772D4"/>
    <w:rsid w:val="00887236"/>
    <w:rsid w:val="0089396D"/>
    <w:rsid w:val="008A25E6"/>
    <w:rsid w:val="008B080A"/>
    <w:rsid w:val="008B5281"/>
    <w:rsid w:val="008E040B"/>
    <w:rsid w:val="009067B5"/>
    <w:rsid w:val="009131B1"/>
    <w:rsid w:val="00951F58"/>
    <w:rsid w:val="00995F7B"/>
    <w:rsid w:val="009A06E7"/>
    <w:rsid w:val="009A1903"/>
    <w:rsid w:val="009B72E9"/>
    <w:rsid w:val="009C4B53"/>
    <w:rsid w:val="009D1B29"/>
    <w:rsid w:val="009E059C"/>
    <w:rsid w:val="00A13819"/>
    <w:rsid w:val="00A1747A"/>
    <w:rsid w:val="00A32F0A"/>
    <w:rsid w:val="00A56DCD"/>
    <w:rsid w:val="00A6020A"/>
    <w:rsid w:val="00A84435"/>
    <w:rsid w:val="00A92B6E"/>
    <w:rsid w:val="00A93F7E"/>
    <w:rsid w:val="00A94D80"/>
    <w:rsid w:val="00AA20E1"/>
    <w:rsid w:val="00AD0DAE"/>
    <w:rsid w:val="00AE2919"/>
    <w:rsid w:val="00AF16CB"/>
    <w:rsid w:val="00AF5483"/>
    <w:rsid w:val="00B043EE"/>
    <w:rsid w:val="00B30052"/>
    <w:rsid w:val="00B5570E"/>
    <w:rsid w:val="00B5624E"/>
    <w:rsid w:val="00B658C9"/>
    <w:rsid w:val="00B929A7"/>
    <w:rsid w:val="00B938F7"/>
    <w:rsid w:val="00BA4B1C"/>
    <w:rsid w:val="00BC2495"/>
    <w:rsid w:val="00BC3C66"/>
    <w:rsid w:val="00C05B46"/>
    <w:rsid w:val="00C222B5"/>
    <w:rsid w:val="00C34CCC"/>
    <w:rsid w:val="00C519A1"/>
    <w:rsid w:val="00C5458C"/>
    <w:rsid w:val="00C67C09"/>
    <w:rsid w:val="00C741F6"/>
    <w:rsid w:val="00C84A12"/>
    <w:rsid w:val="00CC4252"/>
    <w:rsid w:val="00CF3145"/>
    <w:rsid w:val="00CF4646"/>
    <w:rsid w:val="00D1180B"/>
    <w:rsid w:val="00D25334"/>
    <w:rsid w:val="00D257ED"/>
    <w:rsid w:val="00D26DAA"/>
    <w:rsid w:val="00D34E40"/>
    <w:rsid w:val="00D462B7"/>
    <w:rsid w:val="00D463A3"/>
    <w:rsid w:val="00D46476"/>
    <w:rsid w:val="00D638B1"/>
    <w:rsid w:val="00D70E61"/>
    <w:rsid w:val="00D72C63"/>
    <w:rsid w:val="00D85909"/>
    <w:rsid w:val="00DA19D1"/>
    <w:rsid w:val="00DA51DC"/>
    <w:rsid w:val="00DC5193"/>
    <w:rsid w:val="00DD51A1"/>
    <w:rsid w:val="00E13094"/>
    <w:rsid w:val="00E63EE7"/>
    <w:rsid w:val="00E96877"/>
    <w:rsid w:val="00E977B6"/>
    <w:rsid w:val="00EC74A1"/>
    <w:rsid w:val="00ED0EA9"/>
    <w:rsid w:val="00ED5481"/>
    <w:rsid w:val="00ED73DB"/>
    <w:rsid w:val="00EF2C4C"/>
    <w:rsid w:val="00EF4C10"/>
    <w:rsid w:val="00EF6404"/>
    <w:rsid w:val="00F04D07"/>
    <w:rsid w:val="00F210A8"/>
    <w:rsid w:val="00F252C3"/>
    <w:rsid w:val="00F31CB2"/>
    <w:rsid w:val="00F60BB0"/>
    <w:rsid w:val="00F714F9"/>
    <w:rsid w:val="00F729A6"/>
    <w:rsid w:val="00F75802"/>
    <w:rsid w:val="00F7680A"/>
    <w:rsid w:val="00F91774"/>
    <w:rsid w:val="00F92641"/>
    <w:rsid w:val="00F97F2F"/>
    <w:rsid w:val="00FC22C6"/>
    <w:rsid w:val="00FD0076"/>
    <w:rsid w:val="00FD4535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0ADD"/>
    <w:pPr>
      <w:tabs>
        <w:tab w:val="left" w:pos="567"/>
        <w:tab w:val="right" w:leader="dot" w:pos="9742"/>
        <w:tab w:val="left" w:pos="9781"/>
      </w:tabs>
      <w:spacing w:after="100" w:line="240" w:lineRule="auto"/>
      <w:ind w:left="567" w:hanging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0ADD"/>
    <w:pPr>
      <w:tabs>
        <w:tab w:val="left" w:pos="567"/>
        <w:tab w:val="right" w:leader="dot" w:pos="9742"/>
        <w:tab w:val="left" w:pos="9781"/>
      </w:tabs>
      <w:spacing w:after="100" w:line="240" w:lineRule="auto"/>
      <w:ind w:left="567" w:hanging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055-6BD4-4019-9816-D24DDBD7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Dronia</dc:creator>
  <cp:lastModifiedBy>Ireneusz Dronia</cp:lastModifiedBy>
  <cp:revision>4</cp:revision>
  <cp:lastPrinted>2016-03-18T11:25:00Z</cp:lastPrinted>
  <dcterms:created xsi:type="dcterms:W3CDTF">2019-04-12T09:24:00Z</dcterms:created>
  <dcterms:modified xsi:type="dcterms:W3CDTF">2019-04-12T09:32:00Z</dcterms:modified>
</cp:coreProperties>
</file>