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197E" w14:textId="4A01CFBE" w:rsidR="00D73DA7" w:rsidRPr="009545AD" w:rsidRDefault="00D73DA7" w:rsidP="005C6C5B">
      <w:pPr>
        <w:pStyle w:val="Standard"/>
        <w:numPr>
          <w:ilvl w:val="0"/>
          <w:numId w:val="6"/>
        </w:numPr>
        <w:spacing w:line="360" w:lineRule="auto"/>
        <w:jc w:val="center"/>
        <w:rPr>
          <w:b/>
          <w:sz w:val="28"/>
          <w:szCs w:val="28"/>
        </w:rPr>
      </w:pPr>
      <w:r w:rsidRPr="009545AD">
        <w:rPr>
          <w:b/>
          <w:sz w:val="28"/>
          <w:szCs w:val="28"/>
        </w:rPr>
        <w:t>Sprawozdanie z wykonania kontraktu za 202</w:t>
      </w:r>
      <w:r>
        <w:rPr>
          <w:b/>
          <w:sz w:val="28"/>
          <w:szCs w:val="28"/>
        </w:rPr>
        <w:t>5</w:t>
      </w:r>
      <w:r w:rsidRPr="009545AD">
        <w:rPr>
          <w:b/>
          <w:sz w:val="28"/>
          <w:szCs w:val="28"/>
        </w:rPr>
        <w:t xml:space="preserve"> rok w Zakładzie Lecznictwa Ambulatoryjnego w Sosnowcu.</w:t>
      </w:r>
    </w:p>
    <w:p w14:paraId="558122E6" w14:textId="77777777" w:rsidR="00353243" w:rsidRDefault="00353243" w:rsidP="00353243">
      <w:pPr>
        <w:pStyle w:val="Standard"/>
        <w:spacing w:line="360" w:lineRule="auto"/>
        <w:jc w:val="both"/>
        <w:rPr>
          <w:b/>
        </w:rPr>
      </w:pPr>
    </w:p>
    <w:p w14:paraId="5624AE8A" w14:textId="77777777" w:rsidR="00353243" w:rsidRDefault="00353243" w:rsidP="00353243">
      <w:pPr>
        <w:pStyle w:val="Standard"/>
        <w:spacing w:line="360" w:lineRule="auto"/>
        <w:jc w:val="both"/>
      </w:pPr>
      <w:r>
        <w:t>Zakład Lecznictwa Ambulatoryjnego dla którego podmiotem tworzącym jest Gmina Sosnowiec realizuje świadczenia opieki zdrowotnej w rodzaju;</w:t>
      </w:r>
    </w:p>
    <w:p w14:paraId="5848CDEE" w14:textId="77777777" w:rsidR="00353243" w:rsidRDefault="00353243" w:rsidP="00353243">
      <w:pPr>
        <w:pStyle w:val="Standard"/>
        <w:spacing w:line="360" w:lineRule="auto"/>
        <w:jc w:val="both"/>
      </w:pPr>
    </w:p>
    <w:p w14:paraId="7C110F94" w14:textId="77777777" w:rsidR="00353243" w:rsidRDefault="00353243" w:rsidP="00353243">
      <w:pPr>
        <w:pStyle w:val="Standard"/>
        <w:spacing w:line="360" w:lineRule="auto"/>
        <w:jc w:val="both"/>
      </w:pPr>
      <w:r>
        <w:t xml:space="preserve"> </w:t>
      </w:r>
      <w:r>
        <w:tab/>
        <w:t xml:space="preserve"> 1) Podstawowa Opieka Zdrowotna </w:t>
      </w:r>
    </w:p>
    <w:p w14:paraId="358FA517" w14:textId="77777777" w:rsidR="00353243" w:rsidRDefault="00353243" w:rsidP="00353243">
      <w:pPr>
        <w:pStyle w:val="Standard"/>
        <w:spacing w:line="360" w:lineRule="auto"/>
        <w:ind w:firstLine="708"/>
        <w:jc w:val="both"/>
      </w:pPr>
      <w:r>
        <w:t xml:space="preserve">  2) Ambulatoryjna Opieka Specjalistyczna</w:t>
      </w:r>
    </w:p>
    <w:p w14:paraId="62BD34CD" w14:textId="77777777" w:rsidR="00353243" w:rsidRDefault="00353243" w:rsidP="00353243">
      <w:pPr>
        <w:pStyle w:val="Standard"/>
        <w:spacing w:line="360" w:lineRule="auto"/>
        <w:ind w:firstLine="708"/>
        <w:jc w:val="both"/>
      </w:pPr>
      <w:r>
        <w:t xml:space="preserve">  3) Opieka Psychiatryczna i Leczenie Uzależnień.</w:t>
      </w:r>
    </w:p>
    <w:p w14:paraId="0F9F8753" w14:textId="77777777" w:rsidR="00353243" w:rsidRDefault="00353243" w:rsidP="00353243">
      <w:pPr>
        <w:pStyle w:val="Standard"/>
        <w:spacing w:line="360" w:lineRule="auto"/>
        <w:jc w:val="both"/>
        <w:rPr>
          <w:b/>
        </w:rPr>
      </w:pPr>
    </w:p>
    <w:p w14:paraId="76172F60" w14:textId="77777777" w:rsidR="00353243" w:rsidRDefault="00353243" w:rsidP="00353243">
      <w:pPr>
        <w:pStyle w:val="Standard"/>
        <w:spacing w:line="360" w:lineRule="auto"/>
        <w:ind w:firstLine="708"/>
        <w:jc w:val="center"/>
        <w:rPr>
          <w:b/>
        </w:rPr>
      </w:pPr>
      <w:r>
        <w:rPr>
          <w:b/>
        </w:rPr>
        <w:t>Podstawowa Opieka Zdrowotna</w:t>
      </w:r>
    </w:p>
    <w:p w14:paraId="728166DD" w14:textId="77777777" w:rsidR="00353243" w:rsidRDefault="00353243" w:rsidP="00353243">
      <w:pPr>
        <w:pStyle w:val="Standard"/>
        <w:spacing w:line="360" w:lineRule="auto"/>
        <w:ind w:firstLine="708"/>
        <w:jc w:val="both"/>
      </w:pPr>
      <w:r>
        <w:t xml:space="preserve"> Umowę z NFZ o udzielanie świadczeń gwarantowanych w rodzaju podstawowa opieka zdrowotna mamy zawartą </w:t>
      </w:r>
      <w:r>
        <w:rPr>
          <w:b/>
        </w:rPr>
        <w:t>od  01.01.2017 r. na czas nieoznaczony.</w:t>
      </w:r>
      <w:r>
        <w:t xml:space="preserve"> </w:t>
      </w:r>
    </w:p>
    <w:p w14:paraId="69542930" w14:textId="77777777" w:rsidR="00353243" w:rsidRDefault="00353243" w:rsidP="00353243">
      <w:pPr>
        <w:pStyle w:val="Standard"/>
        <w:spacing w:line="360" w:lineRule="auto"/>
      </w:pPr>
    </w:p>
    <w:p w14:paraId="3AF110A9" w14:textId="345348AF" w:rsidR="00D73DA7" w:rsidRDefault="00353243" w:rsidP="00D73DA7">
      <w:pPr>
        <w:pStyle w:val="Standard"/>
        <w:spacing w:line="360" w:lineRule="auto"/>
        <w:jc w:val="both"/>
      </w:pPr>
      <w:r>
        <w:t xml:space="preserve">Na dzień 31.12.2025 r. zadeklarowanych było </w:t>
      </w:r>
      <w:r>
        <w:rPr>
          <w:b/>
        </w:rPr>
        <w:t>21 170</w:t>
      </w:r>
      <w:r>
        <w:rPr>
          <w:bCs/>
        </w:rPr>
        <w:t xml:space="preserve"> </w:t>
      </w:r>
      <w:r w:rsidR="001B6286">
        <w:rPr>
          <w:bCs/>
        </w:rPr>
        <w:t>p</w:t>
      </w:r>
      <w:r w:rsidR="001B6286">
        <w:t>acjentów do</w:t>
      </w:r>
      <w:r>
        <w:t xml:space="preserve"> lekarzy internistó</w:t>
      </w:r>
      <w:r w:rsidR="001B6286">
        <w:t>w</w:t>
      </w:r>
      <w:r>
        <w:t xml:space="preserve"> i pediatrów</w:t>
      </w:r>
      <w:r w:rsidR="00D73DA7">
        <w:t>, w następujących przedziałach wiekowych:</w:t>
      </w:r>
    </w:p>
    <w:p w14:paraId="4D18ED46" w14:textId="283777F2" w:rsidR="00D73DA7" w:rsidRDefault="009E4BA0" w:rsidP="00D73DA7">
      <w:pPr>
        <w:pStyle w:val="Standard"/>
        <w:spacing w:line="360" w:lineRule="auto"/>
      </w:pPr>
      <w:r>
        <w:t>Od 0-2 roku życia                  -211</w:t>
      </w:r>
      <w:r>
        <w:br/>
        <w:t>od</w:t>
      </w:r>
      <w:r w:rsidR="00D73DA7">
        <w:t xml:space="preserve"> </w:t>
      </w:r>
      <w:r>
        <w:t>3-6</w:t>
      </w:r>
      <w:r w:rsidR="00D73DA7">
        <w:t xml:space="preserve"> roku życia                 </w:t>
      </w:r>
      <w:r w:rsidR="00D73DA7">
        <w:tab/>
        <w:t>-</w:t>
      </w:r>
      <w:r>
        <w:t>567</w:t>
      </w:r>
      <w:r w:rsidR="001B6286">
        <w:t>;</w:t>
      </w:r>
    </w:p>
    <w:p w14:paraId="50537404" w14:textId="02FD7267" w:rsidR="00D73DA7" w:rsidRDefault="00D73DA7" w:rsidP="00D73DA7">
      <w:pPr>
        <w:pStyle w:val="Standard"/>
        <w:spacing w:line="360" w:lineRule="auto"/>
      </w:pPr>
      <w:r>
        <w:t xml:space="preserve">od </w:t>
      </w:r>
      <w:r w:rsidR="00A4257B">
        <w:t>7 do</w:t>
      </w:r>
      <w:r>
        <w:t xml:space="preserve"> 19 roku życia          </w:t>
      </w:r>
      <w:r>
        <w:tab/>
        <w:t>-</w:t>
      </w:r>
      <w:r w:rsidR="001B6286">
        <w:t xml:space="preserve"> 2710;</w:t>
      </w:r>
    </w:p>
    <w:p w14:paraId="2C969246" w14:textId="5AE86652" w:rsidR="00D73DA7" w:rsidRDefault="00D73DA7" w:rsidP="00D73DA7">
      <w:pPr>
        <w:pStyle w:val="Standard"/>
        <w:spacing w:line="360" w:lineRule="auto"/>
      </w:pPr>
      <w:r>
        <w:t xml:space="preserve">od 20 do 39 roku życia   </w:t>
      </w:r>
      <w:r>
        <w:tab/>
        <w:t>-</w:t>
      </w:r>
      <w:r w:rsidR="001B6286">
        <w:t xml:space="preserve"> </w:t>
      </w:r>
      <w:r w:rsidR="00DA09BC">
        <w:t>3280</w:t>
      </w:r>
      <w:r>
        <w:t>;</w:t>
      </w:r>
    </w:p>
    <w:p w14:paraId="27765296" w14:textId="412140E2" w:rsidR="00D73DA7" w:rsidRDefault="00D73DA7" w:rsidP="00D73DA7">
      <w:pPr>
        <w:pStyle w:val="Standard"/>
        <w:spacing w:line="360" w:lineRule="auto"/>
      </w:pPr>
      <w:r>
        <w:t xml:space="preserve">od 40 </w:t>
      </w:r>
      <w:r w:rsidR="00A4257B">
        <w:t>do 65</w:t>
      </w:r>
      <w:r>
        <w:t xml:space="preserve"> roku </w:t>
      </w:r>
      <w:r w:rsidR="00A4257B">
        <w:t xml:space="preserve">życia </w:t>
      </w:r>
      <w:r w:rsidR="00A4257B">
        <w:tab/>
      </w:r>
      <w:r>
        <w:t xml:space="preserve">- </w:t>
      </w:r>
      <w:r w:rsidR="00DA09BC">
        <w:t>6839</w:t>
      </w:r>
      <w:r>
        <w:t xml:space="preserve">; </w:t>
      </w:r>
    </w:p>
    <w:p w14:paraId="014AFF17" w14:textId="065DFB30" w:rsidR="00D73DA7" w:rsidRDefault="00D73DA7" w:rsidP="00D73DA7">
      <w:pPr>
        <w:pStyle w:val="Standard"/>
        <w:spacing w:line="360" w:lineRule="auto"/>
      </w:pPr>
      <w:r>
        <w:t xml:space="preserve">od 66 do 75 roku życia   </w:t>
      </w:r>
      <w:r>
        <w:tab/>
        <w:t xml:space="preserve"> -</w:t>
      </w:r>
      <w:r w:rsidR="00DA09BC">
        <w:t>3830</w:t>
      </w:r>
      <w:r>
        <w:t>;</w:t>
      </w:r>
    </w:p>
    <w:p w14:paraId="36ABFA26" w14:textId="79E06C7C" w:rsidR="00D73DA7" w:rsidRDefault="00D73DA7" w:rsidP="00D73DA7">
      <w:pPr>
        <w:pStyle w:val="Standard"/>
        <w:spacing w:line="360" w:lineRule="auto"/>
      </w:pPr>
      <w:r>
        <w:t xml:space="preserve">powyżej 75 roku życia   </w:t>
      </w:r>
      <w:r>
        <w:tab/>
      </w:r>
      <w:r w:rsidR="001B6286">
        <w:t xml:space="preserve"> </w:t>
      </w:r>
      <w:r w:rsidR="00DA09BC">
        <w:t>-</w:t>
      </w:r>
      <w:r w:rsidR="001B6286">
        <w:t xml:space="preserve"> </w:t>
      </w:r>
      <w:r w:rsidR="00DA09BC">
        <w:t>3733</w:t>
      </w:r>
      <w:r>
        <w:t>.</w:t>
      </w:r>
    </w:p>
    <w:p w14:paraId="5BEF70B3" w14:textId="77777777" w:rsidR="00353243" w:rsidRDefault="00353243" w:rsidP="00353243">
      <w:pPr>
        <w:pStyle w:val="Default"/>
        <w:spacing w:line="360" w:lineRule="auto"/>
        <w:jc w:val="both"/>
        <w:rPr>
          <w:rFonts w:ascii="Times New Roman" w:hAnsi="Times New Roman" w:cs="Times New Roman"/>
        </w:rPr>
      </w:pPr>
      <w:r>
        <w:rPr>
          <w:rFonts w:ascii="Times New Roman" w:hAnsi="Times New Roman" w:cs="Times New Roman"/>
        </w:rPr>
        <w:t>Najliczniejszą grupę stanowią pacjenci w przedziale wiekowym od 40 do 65 roku życia oraz od 66 do 75 roku życia.</w:t>
      </w:r>
    </w:p>
    <w:p w14:paraId="06E4058F" w14:textId="77777777" w:rsidR="001B6286" w:rsidRDefault="001B6286" w:rsidP="00D73DA7">
      <w:pPr>
        <w:pStyle w:val="Standard"/>
        <w:spacing w:line="360" w:lineRule="auto"/>
        <w:jc w:val="both"/>
      </w:pPr>
    </w:p>
    <w:p w14:paraId="32AFC166" w14:textId="30E2059F" w:rsidR="00D73DA7" w:rsidRDefault="00D73DA7" w:rsidP="00D73DA7">
      <w:pPr>
        <w:pStyle w:val="Standard"/>
        <w:spacing w:line="360" w:lineRule="auto"/>
        <w:jc w:val="both"/>
      </w:pPr>
      <w:r>
        <w:t xml:space="preserve">Finansowanie POZ oparte jest na stawce </w:t>
      </w:r>
      <w:proofErr w:type="spellStart"/>
      <w:r>
        <w:t>kapitacyjnej</w:t>
      </w:r>
      <w:proofErr w:type="spellEnd"/>
      <w:r>
        <w:t xml:space="preserve">.  Stawka </w:t>
      </w:r>
      <w:proofErr w:type="spellStart"/>
      <w:r>
        <w:t>kapitacyjna</w:t>
      </w:r>
      <w:proofErr w:type="spellEnd"/>
      <w:r>
        <w:t xml:space="preserve"> </w:t>
      </w:r>
      <w:r w:rsidR="0068716E">
        <w:t xml:space="preserve"> od 01.07.</w:t>
      </w:r>
      <w:r>
        <w:t>2025 roku wynosi</w:t>
      </w:r>
      <w:bookmarkStart w:id="0" w:name="_Hlk24105419"/>
      <w:r w:rsidR="001B6286">
        <w:t>ł</w:t>
      </w:r>
      <w:r w:rsidR="006B19DD">
        <w:t>a</w:t>
      </w:r>
      <w:r>
        <w:t xml:space="preserve"> </w:t>
      </w:r>
      <w:r w:rsidRPr="00DF29FE">
        <w:rPr>
          <w:color w:val="000000" w:themeColor="text1"/>
        </w:rPr>
        <w:t>2</w:t>
      </w:r>
      <w:r w:rsidR="0068716E" w:rsidRPr="00DF29FE">
        <w:rPr>
          <w:color w:val="000000" w:themeColor="text1"/>
        </w:rPr>
        <w:t>26,08</w:t>
      </w:r>
      <w:r w:rsidRPr="00DF29FE">
        <w:rPr>
          <w:color w:val="000000" w:themeColor="text1"/>
        </w:rPr>
        <w:t xml:space="preserve"> </w:t>
      </w:r>
      <w:r>
        <w:t>zł  na rok, na jednego zadeklarowanego do lekarza POZ.</w:t>
      </w:r>
    </w:p>
    <w:bookmarkEnd w:id="0"/>
    <w:p w14:paraId="1B9B2A64" w14:textId="59F49978" w:rsidR="00D73DA7" w:rsidRPr="00DF29FE" w:rsidRDefault="00D73DA7" w:rsidP="00D73DA7">
      <w:pPr>
        <w:pStyle w:val="Default"/>
        <w:spacing w:line="360" w:lineRule="auto"/>
        <w:jc w:val="both"/>
        <w:rPr>
          <w:rFonts w:ascii="Times New Roman" w:hAnsi="Times New Roman" w:cs="Times New Roman"/>
          <w:color w:val="000000" w:themeColor="text1"/>
        </w:rPr>
      </w:pPr>
      <w:r>
        <w:rPr>
          <w:rFonts w:ascii="Times New Roman" w:hAnsi="Times New Roman" w:cs="Times New Roman"/>
        </w:rPr>
        <w:t>Jest ona</w:t>
      </w:r>
      <w:r w:rsidRPr="008D699D">
        <w:rPr>
          <w:rFonts w:ascii="Times New Roman" w:hAnsi="Times New Roman" w:cs="Times New Roman"/>
        </w:rPr>
        <w:t xml:space="preserve"> korygowana z zastosowaniem współczynnika odpowiedniego do grupy wiekowej </w:t>
      </w:r>
      <w:r>
        <w:rPr>
          <w:rFonts w:ascii="Times New Roman" w:hAnsi="Times New Roman" w:cs="Times New Roman"/>
        </w:rPr>
        <w:t xml:space="preserve">    pacjenta</w:t>
      </w:r>
      <w:r w:rsidRPr="008D699D">
        <w:rPr>
          <w:rFonts w:ascii="Times New Roman" w:hAnsi="Times New Roman" w:cs="Times New Roman"/>
        </w:rPr>
        <w:t xml:space="preserve"> </w:t>
      </w:r>
      <w:r>
        <w:rPr>
          <w:rFonts w:ascii="Times New Roman" w:hAnsi="Times New Roman" w:cs="Times New Roman"/>
        </w:rPr>
        <w:t xml:space="preserve">i kształtuje się </w:t>
      </w:r>
      <w:r w:rsidR="001B6286">
        <w:rPr>
          <w:rFonts w:ascii="Times New Roman" w:hAnsi="Times New Roman" w:cs="Times New Roman"/>
        </w:rPr>
        <w:t>w przedziałach</w:t>
      </w:r>
      <w:r w:rsidRPr="00731866">
        <w:rPr>
          <w:rFonts w:ascii="Times New Roman" w:hAnsi="Times New Roman" w:cs="Times New Roman"/>
          <w:color w:val="000000" w:themeColor="text1"/>
        </w:rPr>
        <w:t xml:space="preserve"> </w:t>
      </w:r>
      <w:r w:rsidRPr="00DF29FE">
        <w:rPr>
          <w:rFonts w:ascii="Times New Roman" w:hAnsi="Times New Roman" w:cs="Times New Roman"/>
          <w:color w:val="000000" w:themeColor="text1"/>
        </w:rPr>
        <w:t xml:space="preserve">od 1.0 do </w:t>
      </w:r>
      <w:r w:rsidR="00DA09BC" w:rsidRPr="00DF29FE">
        <w:rPr>
          <w:rFonts w:ascii="Times New Roman" w:hAnsi="Times New Roman" w:cs="Times New Roman"/>
          <w:color w:val="000000" w:themeColor="text1"/>
        </w:rPr>
        <w:t>4</w:t>
      </w:r>
      <w:r w:rsidR="003C5198">
        <w:rPr>
          <w:rFonts w:ascii="Times New Roman" w:hAnsi="Times New Roman" w:cs="Times New Roman"/>
          <w:color w:val="000000" w:themeColor="text1"/>
        </w:rPr>
        <w:t>.</w:t>
      </w:r>
      <w:r w:rsidR="00DA09BC" w:rsidRPr="00DF29FE">
        <w:rPr>
          <w:rFonts w:ascii="Times New Roman" w:hAnsi="Times New Roman" w:cs="Times New Roman"/>
          <w:color w:val="000000" w:themeColor="text1"/>
        </w:rPr>
        <w:t>0</w:t>
      </w:r>
      <w:r w:rsidRPr="00DF29FE">
        <w:rPr>
          <w:rFonts w:ascii="Times New Roman" w:hAnsi="Times New Roman" w:cs="Times New Roman"/>
          <w:color w:val="000000" w:themeColor="text1"/>
        </w:rPr>
        <w:t>.</w:t>
      </w:r>
    </w:p>
    <w:p w14:paraId="2AB60AFB" w14:textId="5C3F331E" w:rsidR="00D73DA7" w:rsidRDefault="00D73DA7" w:rsidP="00D73DA7">
      <w:pPr>
        <w:pStyle w:val="Default"/>
        <w:spacing w:line="360" w:lineRule="auto"/>
        <w:jc w:val="both"/>
        <w:rPr>
          <w:rFonts w:ascii="Times New Roman" w:hAnsi="Times New Roman" w:cs="Times New Roman"/>
        </w:rPr>
      </w:pPr>
      <w:r>
        <w:rPr>
          <w:rFonts w:ascii="Times New Roman" w:hAnsi="Times New Roman" w:cs="Times New Roman"/>
          <w:color w:val="000000" w:themeColor="text1"/>
        </w:rPr>
        <w:t xml:space="preserve"> Ponadto </w:t>
      </w:r>
      <w:r w:rsidRPr="00DF29FE">
        <w:rPr>
          <w:rFonts w:ascii="Times New Roman" w:hAnsi="Times New Roman" w:cs="Times New Roman"/>
          <w:color w:val="000000" w:themeColor="text1"/>
        </w:rPr>
        <w:t>od 01.07.202</w:t>
      </w:r>
      <w:r w:rsidR="0068716E" w:rsidRPr="00DF29FE">
        <w:rPr>
          <w:rFonts w:ascii="Times New Roman" w:hAnsi="Times New Roman" w:cs="Times New Roman"/>
          <w:color w:val="000000" w:themeColor="text1"/>
        </w:rPr>
        <w:t>5</w:t>
      </w:r>
      <w:r w:rsidRPr="00DF29FE">
        <w:rPr>
          <w:rFonts w:ascii="Times New Roman" w:hAnsi="Times New Roman" w:cs="Times New Roman"/>
          <w:color w:val="000000" w:themeColor="text1"/>
        </w:rPr>
        <w:t xml:space="preserve"> r. </w:t>
      </w:r>
      <w:r w:rsidR="0068716E" w:rsidRPr="00DF29FE">
        <w:rPr>
          <w:rFonts w:ascii="Times New Roman" w:hAnsi="Times New Roman" w:cs="Times New Roman"/>
          <w:color w:val="000000" w:themeColor="text1"/>
        </w:rPr>
        <w:t xml:space="preserve">w </w:t>
      </w:r>
      <w:r>
        <w:rPr>
          <w:rFonts w:ascii="Times New Roman" w:hAnsi="Times New Roman" w:cs="Times New Roman"/>
        </w:rPr>
        <w:t xml:space="preserve">przypadku objęcia opieką osób z chorobami </w:t>
      </w:r>
      <w:r w:rsidR="001B6286">
        <w:rPr>
          <w:rFonts w:ascii="Times New Roman" w:hAnsi="Times New Roman" w:cs="Times New Roman"/>
        </w:rPr>
        <w:t>przewlekłymi obowiązuje</w:t>
      </w:r>
      <w:r>
        <w:rPr>
          <w:rFonts w:ascii="Times New Roman" w:hAnsi="Times New Roman" w:cs="Times New Roman"/>
        </w:rPr>
        <w:t xml:space="preserve"> wartość kwotowa, która zależy od liczby grup dziedzinowych choroby i wynosi w przypadku:</w:t>
      </w:r>
    </w:p>
    <w:p w14:paraId="24D0120E" w14:textId="2032A607" w:rsidR="00D73DA7" w:rsidRPr="00DF29FE" w:rsidRDefault="00D73DA7" w:rsidP="00D73DA7">
      <w:pPr>
        <w:pStyle w:val="Default"/>
        <w:spacing w:line="360" w:lineRule="auto"/>
        <w:jc w:val="both"/>
        <w:rPr>
          <w:rFonts w:ascii="Times New Roman" w:hAnsi="Times New Roman" w:cs="Times New Roman"/>
          <w:color w:val="000000" w:themeColor="text1"/>
        </w:rPr>
      </w:pPr>
      <w:r>
        <w:rPr>
          <w:rFonts w:ascii="Times New Roman" w:hAnsi="Times New Roman" w:cs="Times New Roman"/>
        </w:rPr>
        <w:lastRenderedPageBreak/>
        <w:t xml:space="preserve">jednej choroby przewlekłej – </w:t>
      </w:r>
      <w:r w:rsidR="0068716E" w:rsidRPr="00DF29FE">
        <w:rPr>
          <w:rFonts w:ascii="Times New Roman" w:hAnsi="Times New Roman" w:cs="Times New Roman"/>
          <w:color w:val="000000" w:themeColor="text1"/>
        </w:rPr>
        <w:t>20</w:t>
      </w:r>
      <w:r w:rsidRPr="00DF29FE">
        <w:rPr>
          <w:rFonts w:ascii="Times New Roman" w:hAnsi="Times New Roman" w:cs="Times New Roman"/>
          <w:color w:val="000000" w:themeColor="text1"/>
        </w:rPr>
        <w:t>,</w:t>
      </w:r>
      <w:r w:rsidR="00DA09BC" w:rsidRPr="00DF29FE">
        <w:rPr>
          <w:rFonts w:ascii="Times New Roman" w:hAnsi="Times New Roman" w:cs="Times New Roman"/>
          <w:color w:val="000000" w:themeColor="text1"/>
        </w:rPr>
        <w:t>0</w:t>
      </w:r>
      <w:r w:rsidR="0068716E" w:rsidRPr="00DF29FE">
        <w:rPr>
          <w:rFonts w:ascii="Times New Roman" w:hAnsi="Times New Roman" w:cs="Times New Roman"/>
          <w:color w:val="000000" w:themeColor="text1"/>
        </w:rPr>
        <w:t>2</w:t>
      </w:r>
      <w:r w:rsidRPr="00DF29FE">
        <w:rPr>
          <w:rFonts w:ascii="Times New Roman" w:hAnsi="Times New Roman" w:cs="Times New Roman"/>
          <w:color w:val="000000" w:themeColor="text1"/>
        </w:rPr>
        <w:t xml:space="preserve"> zł</w:t>
      </w:r>
    </w:p>
    <w:p w14:paraId="5D5178E1" w14:textId="28E0BD59" w:rsidR="00D73DA7" w:rsidRPr="00DF29FE" w:rsidRDefault="00D73DA7" w:rsidP="00D73DA7">
      <w:pPr>
        <w:pStyle w:val="Default"/>
        <w:spacing w:line="360" w:lineRule="auto"/>
        <w:jc w:val="both"/>
        <w:rPr>
          <w:rFonts w:ascii="Times New Roman" w:hAnsi="Times New Roman" w:cs="Times New Roman"/>
          <w:color w:val="000000" w:themeColor="text1"/>
        </w:rPr>
      </w:pPr>
      <w:r w:rsidRPr="00DF29FE">
        <w:rPr>
          <w:rFonts w:ascii="Times New Roman" w:hAnsi="Times New Roman" w:cs="Times New Roman"/>
          <w:color w:val="000000" w:themeColor="text1"/>
        </w:rPr>
        <w:t>dwóch chorób przewlekłych – 3</w:t>
      </w:r>
      <w:r w:rsidR="0068716E" w:rsidRPr="00DF29FE">
        <w:rPr>
          <w:rFonts w:ascii="Times New Roman" w:hAnsi="Times New Roman" w:cs="Times New Roman"/>
          <w:color w:val="000000" w:themeColor="text1"/>
        </w:rPr>
        <w:t>3</w:t>
      </w:r>
      <w:r w:rsidRPr="00DF29FE">
        <w:rPr>
          <w:rFonts w:ascii="Times New Roman" w:hAnsi="Times New Roman" w:cs="Times New Roman"/>
          <w:color w:val="000000" w:themeColor="text1"/>
        </w:rPr>
        <w:t>,</w:t>
      </w:r>
      <w:r w:rsidR="0068716E" w:rsidRPr="00DF29FE">
        <w:rPr>
          <w:rFonts w:ascii="Times New Roman" w:hAnsi="Times New Roman" w:cs="Times New Roman"/>
          <w:color w:val="000000" w:themeColor="text1"/>
        </w:rPr>
        <w:t>38</w:t>
      </w:r>
      <w:r w:rsidRPr="00DF29FE">
        <w:rPr>
          <w:rFonts w:ascii="Times New Roman" w:hAnsi="Times New Roman" w:cs="Times New Roman"/>
          <w:color w:val="000000" w:themeColor="text1"/>
        </w:rPr>
        <w:t xml:space="preserve"> zł</w:t>
      </w:r>
    </w:p>
    <w:p w14:paraId="199728C1" w14:textId="25C657F5" w:rsidR="00D73DA7" w:rsidRPr="00DF29FE" w:rsidRDefault="00D73DA7" w:rsidP="00D73DA7">
      <w:pPr>
        <w:pStyle w:val="Default"/>
        <w:spacing w:line="360" w:lineRule="auto"/>
        <w:jc w:val="both"/>
        <w:rPr>
          <w:rFonts w:ascii="Times New Roman" w:hAnsi="Times New Roman" w:cs="Times New Roman"/>
          <w:color w:val="000000" w:themeColor="text1"/>
        </w:rPr>
      </w:pPr>
      <w:r w:rsidRPr="00DF29FE">
        <w:rPr>
          <w:rFonts w:ascii="Times New Roman" w:hAnsi="Times New Roman" w:cs="Times New Roman"/>
          <w:color w:val="000000" w:themeColor="text1"/>
        </w:rPr>
        <w:t xml:space="preserve">trzech chorób przewlekłych - </w:t>
      </w:r>
      <w:r w:rsidR="00DA09BC" w:rsidRPr="00DF29FE">
        <w:rPr>
          <w:rFonts w:ascii="Times New Roman" w:hAnsi="Times New Roman" w:cs="Times New Roman"/>
          <w:color w:val="000000" w:themeColor="text1"/>
        </w:rPr>
        <w:t>4</w:t>
      </w:r>
      <w:r w:rsidR="0068716E" w:rsidRPr="00DF29FE">
        <w:rPr>
          <w:rFonts w:ascii="Times New Roman" w:hAnsi="Times New Roman" w:cs="Times New Roman"/>
          <w:color w:val="000000" w:themeColor="text1"/>
        </w:rPr>
        <w:t>3</w:t>
      </w:r>
      <w:r w:rsidRPr="00DF29FE">
        <w:rPr>
          <w:rFonts w:ascii="Times New Roman" w:hAnsi="Times New Roman" w:cs="Times New Roman"/>
          <w:color w:val="000000" w:themeColor="text1"/>
        </w:rPr>
        <w:t>,</w:t>
      </w:r>
      <w:r w:rsidR="00DA09BC" w:rsidRPr="00DF29FE">
        <w:rPr>
          <w:rFonts w:ascii="Times New Roman" w:hAnsi="Times New Roman" w:cs="Times New Roman"/>
          <w:color w:val="000000" w:themeColor="text1"/>
        </w:rPr>
        <w:t>3</w:t>
      </w:r>
      <w:r w:rsidR="0068716E" w:rsidRPr="00DF29FE">
        <w:rPr>
          <w:rFonts w:ascii="Times New Roman" w:hAnsi="Times New Roman" w:cs="Times New Roman"/>
          <w:color w:val="000000" w:themeColor="text1"/>
        </w:rPr>
        <w:t>9</w:t>
      </w:r>
      <w:r w:rsidR="003C5198">
        <w:rPr>
          <w:rFonts w:ascii="Times New Roman" w:hAnsi="Times New Roman" w:cs="Times New Roman"/>
          <w:color w:val="000000" w:themeColor="text1"/>
        </w:rPr>
        <w:t xml:space="preserve"> zł</w:t>
      </w:r>
    </w:p>
    <w:p w14:paraId="570345DC" w14:textId="561F5F2D" w:rsidR="00D73DA7" w:rsidRPr="00DF29FE" w:rsidRDefault="00D73DA7" w:rsidP="00D73DA7">
      <w:pPr>
        <w:pStyle w:val="Default"/>
        <w:spacing w:line="360" w:lineRule="auto"/>
        <w:jc w:val="both"/>
        <w:rPr>
          <w:rFonts w:ascii="Times New Roman" w:hAnsi="Times New Roman" w:cs="Times New Roman"/>
          <w:color w:val="000000" w:themeColor="text1"/>
        </w:rPr>
      </w:pPr>
      <w:r w:rsidRPr="00DF29FE">
        <w:rPr>
          <w:rFonts w:ascii="Times New Roman" w:hAnsi="Times New Roman" w:cs="Times New Roman"/>
          <w:color w:val="000000" w:themeColor="text1"/>
        </w:rPr>
        <w:t xml:space="preserve">czterech chorób przewlekłych – </w:t>
      </w:r>
      <w:r w:rsidR="0068716E" w:rsidRPr="00DF29FE">
        <w:rPr>
          <w:rFonts w:ascii="Times New Roman" w:hAnsi="Times New Roman" w:cs="Times New Roman"/>
          <w:color w:val="000000" w:themeColor="text1"/>
        </w:rPr>
        <w:t>50</w:t>
      </w:r>
      <w:r w:rsidRPr="00DF29FE">
        <w:rPr>
          <w:rFonts w:ascii="Times New Roman" w:hAnsi="Times New Roman" w:cs="Times New Roman"/>
          <w:color w:val="000000" w:themeColor="text1"/>
        </w:rPr>
        <w:t>,</w:t>
      </w:r>
      <w:r w:rsidR="0068716E" w:rsidRPr="00DF29FE">
        <w:rPr>
          <w:rFonts w:ascii="Times New Roman" w:hAnsi="Times New Roman" w:cs="Times New Roman"/>
          <w:color w:val="000000" w:themeColor="text1"/>
        </w:rPr>
        <w:t>07</w:t>
      </w:r>
      <w:r w:rsidR="009E4BA0" w:rsidRPr="00DF29FE">
        <w:rPr>
          <w:rFonts w:ascii="Times New Roman" w:hAnsi="Times New Roman" w:cs="Times New Roman"/>
          <w:color w:val="000000" w:themeColor="text1"/>
        </w:rPr>
        <w:t xml:space="preserve"> </w:t>
      </w:r>
      <w:r w:rsidR="003C5198">
        <w:rPr>
          <w:rFonts w:ascii="Times New Roman" w:hAnsi="Times New Roman" w:cs="Times New Roman"/>
          <w:color w:val="000000" w:themeColor="text1"/>
        </w:rPr>
        <w:t>zł</w:t>
      </w:r>
    </w:p>
    <w:p w14:paraId="0BC36304" w14:textId="77777777" w:rsidR="00353243" w:rsidRDefault="00353243" w:rsidP="00353243">
      <w:pPr>
        <w:pStyle w:val="Default"/>
        <w:spacing w:line="360" w:lineRule="auto"/>
        <w:jc w:val="both"/>
        <w:rPr>
          <w:rFonts w:ascii="Times New Roman" w:hAnsi="Times New Roman" w:cs="Times New Roman"/>
        </w:rPr>
      </w:pPr>
    </w:p>
    <w:p w14:paraId="61BA37B7" w14:textId="77777777" w:rsidR="00353243" w:rsidRDefault="00353243" w:rsidP="00353243">
      <w:pPr>
        <w:pStyle w:val="Default"/>
        <w:spacing w:line="360" w:lineRule="auto"/>
        <w:rPr>
          <w:rFonts w:ascii="Times New Roman" w:hAnsi="Times New Roman" w:cs="Times New Roman"/>
        </w:rPr>
      </w:pPr>
      <w:r>
        <w:rPr>
          <w:rFonts w:ascii="Times New Roman" w:hAnsi="Times New Roman" w:cs="Times New Roman"/>
        </w:rPr>
        <w:t xml:space="preserve">Do 31.12.2025 roku </w:t>
      </w:r>
      <w:r>
        <w:rPr>
          <w:rFonts w:ascii="Times New Roman" w:hAnsi="Times New Roman" w:cs="Times New Roman"/>
          <w:b/>
          <w:bCs/>
        </w:rPr>
        <w:t>lekarze POZ</w:t>
      </w:r>
      <w:r>
        <w:rPr>
          <w:rFonts w:ascii="Times New Roman" w:hAnsi="Times New Roman" w:cs="Times New Roman"/>
        </w:rPr>
        <w:t>-u udzielili:</w:t>
      </w:r>
    </w:p>
    <w:p w14:paraId="3FF84837" w14:textId="5FBE994C" w:rsidR="00353243" w:rsidRDefault="00353243" w:rsidP="00353243">
      <w:pPr>
        <w:pStyle w:val="Default"/>
        <w:spacing w:line="360" w:lineRule="auto"/>
        <w:rPr>
          <w:rFonts w:ascii="Times New Roman" w:hAnsi="Times New Roman" w:cs="Times New Roman"/>
          <w:color w:val="auto"/>
        </w:rPr>
      </w:pPr>
      <w:r>
        <w:rPr>
          <w:rFonts w:ascii="Times New Roman" w:hAnsi="Times New Roman" w:cs="Times New Roman"/>
        </w:rPr>
        <w:t xml:space="preserve">- </w:t>
      </w:r>
      <w:r w:rsidR="00A4257B">
        <w:rPr>
          <w:rFonts w:ascii="Times New Roman" w:hAnsi="Times New Roman" w:cs="Times New Roman"/>
        </w:rPr>
        <w:t xml:space="preserve">interniści </w:t>
      </w:r>
      <w:r w:rsidR="00A4257B">
        <w:rPr>
          <w:rFonts w:ascii="Times New Roman" w:hAnsi="Times New Roman" w:cs="Times New Roman"/>
          <w:color w:val="auto"/>
        </w:rPr>
        <w:t>69</w:t>
      </w:r>
      <w:r>
        <w:rPr>
          <w:rFonts w:ascii="Times New Roman" w:hAnsi="Times New Roman" w:cs="Times New Roman"/>
          <w:color w:val="auto"/>
        </w:rPr>
        <w:t> 101 porad, w tym 11 334 teleporad;</w:t>
      </w:r>
    </w:p>
    <w:p w14:paraId="32F72C90" w14:textId="77777777" w:rsidR="00353243" w:rsidRDefault="00353243" w:rsidP="00353243">
      <w:pPr>
        <w:pStyle w:val="Default"/>
        <w:spacing w:line="360" w:lineRule="auto"/>
        <w:rPr>
          <w:rFonts w:ascii="Times New Roman" w:hAnsi="Times New Roman" w:cs="Times New Roman"/>
        </w:rPr>
      </w:pPr>
      <w:r>
        <w:rPr>
          <w:rFonts w:ascii="Times New Roman" w:hAnsi="Times New Roman" w:cs="Times New Roman"/>
        </w:rPr>
        <w:t>- pediatrzy 15 065</w:t>
      </w:r>
      <w:r>
        <w:rPr>
          <w:rFonts w:ascii="Times New Roman" w:hAnsi="Times New Roman" w:cs="Times New Roman"/>
          <w:color w:val="FF0000"/>
        </w:rPr>
        <w:t xml:space="preserve"> </w:t>
      </w:r>
      <w:r>
        <w:rPr>
          <w:rFonts w:ascii="Times New Roman" w:hAnsi="Times New Roman" w:cs="Times New Roman"/>
        </w:rPr>
        <w:t>porad w tym 1451 teleporad.</w:t>
      </w:r>
    </w:p>
    <w:p w14:paraId="10BD5A3F" w14:textId="77777777" w:rsidR="00E90A4A" w:rsidRDefault="00E90A4A" w:rsidP="00353243">
      <w:pPr>
        <w:pStyle w:val="Default"/>
        <w:spacing w:line="360" w:lineRule="auto"/>
        <w:jc w:val="both"/>
        <w:rPr>
          <w:rFonts w:ascii="Times New Roman" w:hAnsi="Times New Roman" w:cs="Times New Roman"/>
          <w:b/>
        </w:rPr>
      </w:pPr>
    </w:p>
    <w:p w14:paraId="4F756E32" w14:textId="11599B26" w:rsidR="00353243" w:rsidRDefault="00353243" w:rsidP="00353243">
      <w:pPr>
        <w:pStyle w:val="Default"/>
        <w:spacing w:line="360" w:lineRule="auto"/>
        <w:jc w:val="both"/>
        <w:rPr>
          <w:rFonts w:ascii="Times New Roman" w:hAnsi="Times New Roman" w:cs="Times New Roman"/>
          <w:bCs/>
        </w:rPr>
      </w:pPr>
      <w:r>
        <w:rPr>
          <w:rFonts w:ascii="Times New Roman" w:hAnsi="Times New Roman" w:cs="Times New Roman"/>
          <w:b/>
        </w:rPr>
        <w:t>Pielęgniarki środowiskowo - rodzinne</w:t>
      </w:r>
      <w:r>
        <w:rPr>
          <w:rFonts w:ascii="Times New Roman" w:hAnsi="Times New Roman" w:cs="Times New Roman"/>
          <w:bCs/>
        </w:rPr>
        <w:t xml:space="preserve"> mają </w:t>
      </w:r>
      <w:r w:rsidR="00A4257B">
        <w:rPr>
          <w:rFonts w:ascii="Times New Roman" w:hAnsi="Times New Roman" w:cs="Times New Roman"/>
          <w:bCs/>
        </w:rPr>
        <w:t xml:space="preserve">zadeklarowanych </w:t>
      </w:r>
      <w:r w:rsidR="00A4257B" w:rsidRPr="007A6D08">
        <w:rPr>
          <w:rFonts w:ascii="Times New Roman" w:hAnsi="Times New Roman" w:cs="Times New Roman"/>
          <w:b/>
        </w:rPr>
        <w:t>20</w:t>
      </w:r>
      <w:r w:rsidRPr="007A6D08">
        <w:rPr>
          <w:rFonts w:ascii="Times New Roman" w:hAnsi="Times New Roman" w:cs="Times New Roman"/>
          <w:b/>
        </w:rPr>
        <w:t xml:space="preserve"> 632</w:t>
      </w:r>
      <w:r>
        <w:rPr>
          <w:rFonts w:ascii="Times New Roman" w:hAnsi="Times New Roman" w:cs="Times New Roman"/>
          <w:bCs/>
        </w:rPr>
        <w:t xml:space="preserve"> pacjentów, w trzech przedziałach wiekowych:</w:t>
      </w:r>
    </w:p>
    <w:p w14:paraId="671164DB" w14:textId="51E27C95" w:rsidR="00353243" w:rsidRDefault="00353243" w:rsidP="00353243">
      <w:pPr>
        <w:pStyle w:val="Default"/>
        <w:spacing w:line="360" w:lineRule="auto"/>
        <w:rPr>
          <w:rFonts w:ascii="Times New Roman" w:hAnsi="Times New Roman" w:cs="Times New Roman"/>
          <w:bCs/>
        </w:rPr>
      </w:pPr>
      <w:r>
        <w:rPr>
          <w:rFonts w:ascii="Times New Roman" w:hAnsi="Times New Roman" w:cs="Times New Roman"/>
          <w:bCs/>
        </w:rPr>
        <w:t>do 6 roku życia</w:t>
      </w:r>
      <w:r>
        <w:rPr>
          <w:rFonts w:ascii="Times New Roman" w:hAnsi="Times New Roman" w:cs="Times New Roman"/>
          <w:bCs/>
        </w:rPr>
        <w:tab/>
        <w:t xml:space="preserve">    </w:t>
      </w:r>
      <w:r w:rsidR="00A4257B">
        <w:rPr>
          <w:rFonts w:ascii="Times New Roman" w:hAnsi="Times New Roman" w:cs="Times New Roman"/>
          <w:bCs/>
        </w:rPr>
        <w:t>706;</w:t>
      </w:r>
    </w:p>
    <w:p w14:paraId="21570698" w14:textId="77777777" w:rsidR="00353243" w:rsidRDefault="00353243" w:rsidP="00353243">
      <w:pPr>
        <w:pStyle w:val="Default"/>
        <w:spacing w:line="360" w:lineRule="auto"/>
        <w:rPr>
          <w:rFonts w:ascii="Times New Roman" w:hAnsi="Times New Roman" w:cs="Times New Roman"/>
          <w:bCs/>
        </w:rPr>
      </w:pPr>
      <w:r>
        <w:rPr>
          <w:rFonts w:ascii="Times New Roman" w:hAnsi="Times New Roman" w:cs="Times New Roman"/>
          <w:bCs/>
        </w:rPr>
        <w:t>od 7 do 65 roku życia</w:t>
      </w:r>
      <w:r>
        <w:rPr>
          <w:rFonts w:ascii="Times New Roman" w:hAnsi="Times New Roman" w:cs="Times New Roman"/>
          <w:bCs/>
        </w:rPr>
        <w:tab/>
        <w:t xml:space="preserve">    12 404;</w:t>
      </w:r>
    </w:p>
    <w:p w14:paraId="22A4B150" w14:textId="327CE27C" w:rsidR="00353243" w:rsidRDefault="00353243" w:rsidP="00353243">
      <w:pPr>
        <w:pStyle w:val="Default"/>
        <w:spacing w:line="360" w:lineRule="auto"/>
        <w:rPr>
          <w:rFonts w:ascii="Times New Roman" w:hAnsi="Times New Roman" w:cs="Times New Roman"/>
          <w:bCs/>
        </w:rPr>
      </w:pPr>
      <w:r>
        <w:rPr>
          <w:rFonts w:ascii="Times New Roman" w:hAnsi="Times New Roman" w:cs="Times New Roman"/>
          <w:bCs/>
        </w:rPr>
        <w:t>powyżej 65 roku życia   7 522;</w:t>
      </w:r>
    </w:p>
    <w:p w14:paraId="23331777" w14:textId="785A5637" w:rsidR="00353243" w:rsidRDefault="00353243" w:rsidP="00353243">
      <w:pPr>
        <w:pStyle w:val="Default"/>
        <w:spacing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  </w:t>
      </w:r>
      <w:r w:rsidR="00A4257B">
        <w:rPr>
          <w:rFonts w:ascii="Times New Roman" w:hAnsi="Times New Roman" w:cs="Times New Roman"/>
          <w:bCs/>
        </w:rPr>
        <w:t>razem: 20</w:t>
      </w:r>
      <w:r>
        <w:rPr>
          <w:rFonts w:ascii="Times New Roman" w:hAnsi="Times New Roman" w:cs="Times New Roman"/>
          <w:bCs/>
        </w:rPr>
        <w:t xml:space="preserve"> 632 pacjentów</w:t>
      </w:r>
    </w:p>
    <w:p w14:paraId="052D9E66" w14:textId="77777777" w:rsidR="00353243" w:rsidRDefault="00353243" w:rsidP="00353243">
      <w:pPr>
        <w:pStyle w:val="Default"/>
        <w:spacing w:line="360" w:lineRule="auto"/>
        <w:rPr>
          <w:rFonts w:ascii="Times New Roman" w:hAnsi="Times New Roman" w:cs="Times New Roman"/>
          <w:bCs/>
        </w:rPr>
      </w:pPr>
      <w:r>
        <w:rPr>
          <w:rFonts w:ascii="Times New Roman" w:hAnsi="Times New Roman" w:cs="Times New Roman"/>
          <w:bCs/>
        </w:rPr>
        <w:t>Do 31.12.2025 roku pielęgniarki wykonały:</w:t>
      </w:r>
    </w:p>
    <w:p w14:paraId="42226587" w14:textId="77777777" w:rsidR="00353243" w:rsidRDefault="00353243" w:rsidP="00353243">
      <w:pPr>
        <w:pStyle w:val="Default"/>
        <w:spacing w:line="360" w:lineRule="auto"/>
        <w:rPr>
          <w:rFonts w:ascii="Times New Roman" w:hAnsi="Times New Roman" w:cs="Times New Roman"/>
          <w:b/>
          <w:color w:val="auto"/>
        </w:rPr>
      </w:pPr>
      <w:r>
        <w:rPr>
          <w:rFonts w:ascii="Times New Roman" w:hAnsi="Times New Roman" w:cs="Times New Roman"/>
          <w:bCs/>
        </w:rPr>
        <w:t xml:space="preserve">- wizyt domowych   </w:t>
      </w:r>
      <w:r>
        <w:rPr>
          <w:rFonts w:ascii="Times New Roman" w:hAnsi="Times New Roman" w:cs="Times New Roman"/>
          <w:b/>
          <w:color w:val="auto"/>
        </w:rPr>
        <w:t>5995.</w:t>
      </w:r>
    </w:p>
    <w:p w14:paraId="5483FDF6" w14:textId="77777777" w:rsidR="00E90A4A" w:rsidRDefault="00E90A4A" w:rsidP="00353243">
      <w:pPr>
        <w:pStyle w:val="Default"/>
        <w:spacing w:line="360" w:lineRule="auto"/>
        <w:jc w:val="both"/>
        <w:rPr>
          <w:rFonts w:ascii="Times New Roman" w:hAnsi="Times New Roman" w:cs="Times New Roman"/>
          <w:b/>
        </w:rPr>
      </w:pPr>
    </w:p>
    <w:p w14:paraId="3C9DC7E8" w14:textId="06AFC124" w:rsidR="00353243" w:rsidRDefault="00353243" w:rsidP="00353243">
      <w:pPr>
        <w:pStyle w:val="Default"/>
        <w:spacing w:line="360" w:lineRule="auto"/>
        <w:jc w:val="both"/>
        <w:rPr>
          <w:rFonts w:ascii="Times New Roman" w:hAnsi="Times New Roman" w:cs="Times New Roman"/>
          <w:bCs/>
        </w:rPr>
      </w:pPr>
      <w:r>
        <w:rPr>
          <w:rFonts w:ascii="Times New Roman" w:hAnsi="Times New Roman" w:cs="Times New Roman"/>
          <w:b/>
        </w:rPr>
        <w:t>Położne środowiskowo-</w:t>
      </w:r>
      <w:r w:rsidR="00A4257B">
        <w:rPr>
          <w:rFonts w:ascii="Times New Roman" w:hAnsi="Times New Roman" w:cs="Times New Roman"/>
          <w:b/>
        </w:rPr>
        <w:t xml:space="preserve">rodzinne </w:t>
      </w:r>
      <w:r w:rsidR="00A4257B" w:rsidRPr="007A6D08">
        <w:rPr>
          <w:rFonts w:ascii="Times New Roman" w:hAnsi="Times New Roman" w:cs="Times New Roman"/>
          <w:bCs/>
        </w:rPr>
        <w:t>mają</w:t>
      </w:r>
      <w:r>
        <w:rPr>
          <w:rFonts w:ascii="Times New Roman" w:hAnsi="Times New Roman" w:cs="Times New Roman"/>
          <w:bCs/>
        </w:rPr>
        <w:t xml:space="preserve"> </w:t>
      </w:r>
      <w:r>
        <w:rPr>
          <w:rFonts w:ascii="Times New Roman" w:hAnsi="Times New Roman" w:cs="Times New Roman"/>
          <w:b/>
          <w:color w:val="auto"/>
        </w:rPr>
        <w:t>11 918</w:t>
      </w:r>
      <w:r>
        <w:rPr>
          <w:rFonts w:ascii="Times New Roman" w:hAnsi="Times New Roman" w:cs="Times New Roman"/>
          <w:bCs/>
          <w:color w:val="auto"/>
        </w:rPr>
        <w:t xml:space="preserve"> zadeklarowanych pacjentów</w:t>
      </w:r>
      <w:r>
        <w:rPr>
          <w:rFonts w:ascii="Times New Roman" w:hAnsi="Times New Roman" w:cs="Times New Roman"/>
          <w:b/>
        </w:rPr>
        <w:t xml:space="preserve"> </w:t>
      </w:r>
      <w:r w:rsidR="00A4257B">
        <w:rPr>
          <w:rFonts w:ascii="Times New Roman" w:hAnsi="Times New Roman" w:cs="Times New Roman"/>
          <w:bCs/>
        </w:rPr>
        <w:t>(kobiety</w:t>
      </w:r>
      <w:r>
        <w:rPr>
          <w:rFonts w:ascii="Times New Roman" w:hAnsi="Times New Roman" w:cs="Times New Roman"/>
          <w:bCs/>
        </w:rPr>
        <w:t xml:space="preserve"> i noworodki płci męskiej do ukończenia 2 miesiąca życia).</w:t>
      </w:r>
    </w:p>
    <w:p w14:paraId="121EDF2C" w14:textId="77777777" w:rsidR="009E4BA0" w:rsidRDefault="009E4BA0" w:rsidP="00353243">
      <w:pPr>
        <w:pStyle w:val="Default"/>
        <w:spacing w:line="360" w:lineRule="auto"/>
        <w:jc w:val="both"/>
        <w:rPr>
          <w:rFonts w:ascii="Times New Roman" w:hAnsi="Times New Roman" w:cs="Times New Roman"/>
          <w:bCs/>
        </w:rPr>
      </w:pPr>
    </w:p>
    <w:p w14:paraId="0C0ADD49" w14:textId="77777777" w:rsidR="00353243" w:rsidRDefault="00353243" w:rsidP="00353243">
      <w:pPr>
        <w:pStyle w:val="Default"/>
        <w:spacing w:line="360" w:lineRule="auto"/>
        <w:rPr>
          <w:rFonts w:ascii="Times New Roman" w:hAnsi="Times New Roman" w:cs="Times New Roman"/>
        </w:rPr>
      </w:pPr>
      <w:r>
        <w:rPr>
          <w:rFonts w:ascii="Times New Roman" w:hAnsi="Times New Roman" w:cs="Times New Roman"/>
        </w:rPr>
        <w:t>Do 31.12.2025 roku położne POZ zrealizowały:</w:t>
      </w:r>
    </w:p>
    <w:p w14:paraId="17D7F05F" w14:textId="1E36C5DD" w:rsidR="00353243" w:rsidRDefault="00353243" w:rsidP="00353243">
      <w:pPr>
        <w:pStyle w:val="Default"/>
        <w:spacing w:line="360" w:lineRule="auto"/>
        <w:rPr>
          <w:rFonts w:ascii="Times New Roman" w:hAnsi="Times New Roman" w:cs="Times New Roman"/>
          <w:color w:val="auto"/>
        </w:rPr>
      </w:pPr>
      <w:r>
        <w:rPr>
          <w:rFonts w:ascii="Times New Roman" w:hAnsi="Times New Roman" w:cs="Times New Roman"/>
          <w:color w:val="auto"/>
        </w:rPr>
        <w:t xml:space="preserve">- wizyt patronażowych    </w:t>
      </w:r>
      <w:r w:rsidR="00A4257B">
        <w:rPr>
          <w:rFonts w:ascii="Times New Roman" w:hAnsi="Times New Roman" w:cs="Times New Roman"/>
          <w:color w:val="auto"/>
        </w:rPr>
        <w:t>- 447</w:t>
      </w:r>
      <w:r>
        <w:rPr>
          <w:rFonts w:ascii="Times New Roman" w:hAnsi="Times New Roman" w:cs="Times New Roman"/>
          <w:color w:val="auto"/>
        </w:rPr>
        <w:t>;</w:t>
      </w:r>
    </w:p>
    <w:p w14:paraId="522D1E7D" w14:textId="6F8C634D" w:rsidR="00353243" w:rsidRDefault="00353243" w:rsidP="00353243">
      <w:pPr>
        <w:pStyle w:val="Default"/>
        <w:spacing w:line="360" w:lineRule="auto"/>
        <w:rPr>
          <w:rFonts w:ascii="Times New Roman" w:hAnsi="Times New Roman" w:cs="Times New Roman"/>
          <w:color w:val="auto"/>
        </w:rPr>
      </w:pPr>
      <w:r>
        <w:rPr>
          <w:rFonts w:ascii="Times New Roman" w:hAnsi="Times New Roman" w:cs="Times New Roman"/>
          <w:color w:val="auto"/>
        </w:rPr>
        <w:t xml:space="preserve">- wizyt w edukacji przedporodowej   </w:t>
      </w:r>
      <w:r w:rsidR="00A4257B">
        <w:rPr>
          <w:rFonts w:ascii="Times New Roman" w:hAnsi="Times New Roman" w:cs="Times New Roman"/>
          <w:color w:val="auto"/>
        </w:rPr>
        <w:t>- 158</w:t>
      </w:r>
      <w:r>
        <w:rPr>
          <w:rFonts w:ascii="Times New Roman" w:hAnsi="Times New Roman" w:cs="Times New Roman"/>
          <w:color w:val="auto"/>
        </w:rPr>
        <w:t>;</w:t>
      </w:r>
    </w:p>
    <w:p w14:paraId="27F7812C" w14:textId="2C9426A6" w:rsidR="00353243" w:rsidRDefault="00353243" w:rsidP="00353243">
      <w:pPr>
        <w:pStyle w:val="Default"/>
        <w:spacing w:line="360" w:lineRule="auto"/>
        <w:rPr>
          <w:rFonts w:ascii="Times New Roman" w:hAnsi="Times New Roman" w:cs="Times New Roman"/>
          <w:color w:val="auto"/>
        </w:rPr>
      </w:pPr>
      <w:r>
        <w:rPr>
          <w:rFonts w:ascii="Times New Roman" w:hAnsi="Times New Roman" w:cs="Times New Roman"/>
          <w:color w:val="auto"/>
        </w:rPr>
        <w:t xml:space="preserve">- pozostałych wizyt domowych   </w:t>
      </w:r>
      <w:r w:rsidR="00A4257B">
        <w:rPr>
          <w:rFonts w:ascii="Times New Roman" w:hAnsi="Times New Roman" w:cs="Times New Roman"/>
          <w:color w:val="auto"/>
        </w:rPr>
        <w:t>- 640</w:t>
      </w:r>
      <w:r>
        <w:rPr>
          <w:rFonts w:ascii="Times New Roman" w:hAnsi="Times New Roman" w:cs="Times New Roman"/>
          <w:color w:val="auto"/>
        </w:rPr>
        <w:t xml:space="preserve">; </w:t>
      </w:r>
    </w:p>
    <w:p w14:paraId="5D232DB4" w14:textId="77777777" w:rsidR="00353243" w:rsidRDefault="00353243" w:rsidP="00353243">
      <w:pPr>
        <w:pStyle w:val="Default"/>
        <w:spacing w:line="360" w:lineRule="auto"/>
        <w:rPr>
          <w:rFonts w:ascii="Times New Roman" w:hAnsi="Times New Roman" w:cs="Times New Roman"/>
          <w:color w:val="EE0000"/>
        </w:rPr>
      </w:pPr>
    </w:p>
    <w:p w14:paraId="299D3F7D" w14:textId="3E8EBD06" w:rsidR="00353243" w:rsidRDefault="00E90A4A" w:rsidP="00353243">
      <w:pPr>
        <w:widowControl/>
        <w:suppressAutoHyphens w:val="0"/>
        <w:autoSpaceDE w:val="0"/>
        <w:spacing w:line="360" w:lineRule="auto"/>
        <w:jc w:val="both"/>
        <w:rPr>
          <w:rFonts w:cs="Times New Roman"/>
          <w:kern w:val="0"/>
          <w:lang w:bidi="ar-SA"/>
        </w:rPr>
      </w:pPr>
      <w:r>
        <w:rPr>
          <w:rFonts w:cs="Times New Roman"/>
          <w:kern w:val="0"/>
          <w:lang w:bidi="ar-SA"/>
        </w:rPr>
        <w:t xml:space="preserve">Ponadto w </w:t>
      </w:r>
      <w:r w:rsidR="00353243">
        <w:rPr>
          <w:rFonts w:cs="Times New Roman"/>
          <w:kern w:val="0"/>
          <w:lang w:bidi="ar-SA"/>
        </w:rPr>
        <w:t xml:space="preserve">gabinetach zabiegowych lekarzy POZ </w:t>
      </w:r>
      <w:r>
        <w:rPr>
          <w:rFonts w:cs="Times New Roman"/>
          <w:kern w:val="0"/>
          <w:lang w:bidi="ar-SA"/>
        </w:rPr>
        <w:t xml:space="preserve">wykonujemy </w:t>
      </w:r>
      <w:r w:rsidR="00353243">
        <w:rPr>
          <w:rFonts w:cs="Times New Roman"/>
          <w:kern w:val="0"/>
          <w:lang w:bidi="ar-SA"/>
        </w:rPr>
        <w:t>Testy COMBO</w:t>
      </w:r>
      <w:r>
        <w:rPr>
          <w:rFonts w:cs="Times New Roman"/>
          <w:kern w:val="0"/>
          <w:lang w:bidi="ar-SA"/>
        </w:rPr>
        <w:t>, które</w:t>
      </w:r>
      <w:r w:rsidR="00353243">
        <w:rPr>
          <w:rFonts w:cs="Times New Roman"/>
          <w:kern w:val="0"/>
          <w:lang w:bidi="ar-SA"/>
        </w:rPr>
        <w:t xml:space="preserve"> jednocześnie wykrywają COVID-19, grypę A/B oraz RSV.</w:t>
      </w:r>
    </w:p>
    <w:p w14:paraId="67992419" w14:textId="42EBBD00" w:rsidR="00353243" w:rsidRDefault="001B6286" w:rsidP="00353243">
      <w:pPr>
        <w:pStyle w:val="Default"/>
        <w:spacing w:line="360" w:lineRule="auto"/>
        <w:jc w:val="both"/>
        <w:rPr>
          <w:rFonts w:ascii="Times New Roman" w:hAnsi="Times New Roman" w:cs="Times New Roman"/>
          <w:bCs/>
        </w:rPr>
      </w:pPr>
      <w:r>
        <w:rPr>
          <w:rFonts w:ascii="Times New Roman" w:hAnsi="Times New Roman" w:cs="Times New Roman"/>
          <w:bCs/>
        </w:rPr>
        <w:t>W</w:t>
      </w:r>
      <w:r w:rsidR="004B18CC">
        <w:rPr>
          <w:rFonts w:ascii="Times New Roman" w:hAnsi="Times New Roman" w:cs="Times New Roman"/>
          <w:bCs/>
        </w:rPr>
        <w:t>e wszystkich trzech przychodniach w</w:t>
      </w:r>
      <w:r>
        <w:rPr>
          <w:rFonts w:ascii="Times New Roman" w:hAnsi="Times New Roman" w:cs="Times New Roman"/>
          <w:bCs/>
        </w:rPr>
        <w:t xml:space="preserve"> pierwszej połowie 2025 roku</w:t>
      </w:r>
      <w:r w:rsidR="004B18CC">
        <w:rPr>
          <w:rFonts w:ascii="Times New Roman" w:hAnsi="Times New Roman" w:cs="Times New Roman"/>
          <w:bCs/>
        </w:rPr>
        <w:t xml:space="preserve"> łącznie</w:t>
      </w:r>
      <w:r>
        <w:rPr>
          <w:rFonts w:ascii="Times New Roman" w:hAnsi="Times New Roman" w:cs="Times New Roman"/>
          <w:bCs/>
        </w:rPr>
        <w:t xml:space="preserve"> wykonano 583 testy, natomiast w drugiej połowie 2025 roku </w:t>
      </w:r>
      <w:r w:rsidR="004B18CC">
        <w:rPr>
          <w:rFonts w:ascii="Times New Roman" w:hAnsi="Times New Roman" w:cs="Times New Roman"/>
          <w:bCs/>
        </w:rPr>
        <w:t xml:space="preserve">łącznie zrobiono </w:t>
      </w:r>
      <w:r>
        <w:rPr>
          <w:rFonts w:ascii="Times New Roman" w:hAnsi="Times New Roman" w:cs="Times New Roman"/>
          <w:bCs/>
        </w:rPr>
        <w:t>276 testów.</w:t>
      </w:r>
    </w:p>
    <w:p w14:paraId="6EFCC94A" w14:textId="77777777" w:rsidR="001B6286" w:rsidRDefault="001B6286" w:rsidP="001B6286">
      <w:pPr>
        <w:widowControl/>
        <w:suppressAutoHyphens w:val="0"/>
        <w:autoSpaceDE w:val="0"/>
        <w:spacing w:line="360" w:lineRule="auto"/>
        <w:jc w:val="both"/>
        <w:rPr>
          <w:rFonts w:cs="Times New Roman"/>
          <w:kern w:val="0"/>
          <w:lang w:bidi="ar-SA"/>
        </w:rPr>
      </w:pPr>
      <w:r>
        <w:rPr>
          <w:rFonts w:cs="Times New Roman"/>
          <w:kern w:val="0"/>
          <w:lang w:bidi="ar-SA"/>
        </w:rPr>
        <w:t xml:space="preserve">Do 31.12.2025 roku </w:t>
      </w:r>
      <w:r>
        <w:rPr>
          <w:rFonts w:cs="Times New Roman"/>
          <w:b/>
          <w:bCs/>
          <w:kern w:val="0"/>
          <w:lang w:bidi="ar-SA"/>
        </w:rPr>
        <w:t>wykonano 859 testów.</w:t>
      </w:r>
    </w:p>
    <w:p w14:paraId="7DB6F5B3" w14:textId="77777777" w:rsidR="001B6286" w:rsidRDefault="001B6286" w:rsidP="00353243">
      <w:pPr>
        <w:pStyle w:val="Default"/>
        <w:spacing w:line="360" w:lineRule="auto"/>
        <w:jc w:val="both"/>
        <w:rPr>
          <w:rFonts w:ascii="Times New Roman" w:hAnsi="Times New Roman" w:cs="Times New Roman"/>
          <w:bCs/>
        </w:rPr>
      </w:pPr>
    </w:p>
    <w:p w14:paraId="2AC95DB3" w14:textId="77777777" w:rsidR="00353243" w:rsidRDefault="00353243" w:rsidP="00353243">
      <w:pPr>
        <w:pStyle w:val="Default"/>
        <w:spacing w:line="360" w:lineRule="auto"/>
        <w:jc w:val="both"/>
        <w:rPr>
          <w:rFonts w:ascii="Times New Roman" w:hAnsi="Times New Roman" w:cs="Times New Roman"/>
        </w:rPr>
      </w:pPr>
    </w:p>
    <w:p w14:paraId="674ED83A" w14:textId="77777777" w:rsidR="00353243" w:rsidRDefault="00353243" w:rsidP="00353243">
      <w:pPr>
        <w:pStyle w:val="Standard"/>
        <w:spacing w:line="360" w:lineRule="auto"/>
        <w:rPr>
          <w:b/>
        </w:rPr>
      </w:pPr>
    </w:p>
    <w:p w14:paraId="20F7FE22" w14:textId="2A0B9CAC" w:rsidR="00353243" w:rsidRDefault="00353243" w:rsidP="001B6286">
      <w:pPr>
        <w:pStyle w:val="Standard"/>
        <w:spacing w:line="360" w:lineRule="auto"/>
        <w:jc w:val="center"/>
        <w:rPr>
          <w:b/>
        </w:rPr>
      </w:pPr>
      <w:r>
        <w:rPr>
          <w:b/>
        </w:rPr>
        <w:lastRenderedPageBreak/>
        <w:t>Ambulatoryjna Opieka Specjalistyczna</w:t>
      </w:r>
    </w:p>
    <w:p w14:paraId="2A060209" w14:textId="77777777" w:rsidR="001B6286" w:rsidRDefault="001B6286" w:rsidP="001B6286">
      <w:pPr>
        <w:pStyle w:val="Standard"/>
        <w:spacing w:line="360" w:lineRule="auto"/>
        <w:jc w:val="center"/>
        <w:rPr>
          <w:b/>
        </w:rPr>
      </w:pPr>
    </w:p>
    <w:p w14:paraId="64DD345E" w14:textId="77777777" w:rsidR="00353243" w:rsidRDefault="00353243" w:rsidP="00353243">
      <w:pPr>
        <w:pStyle w:val="Standard"/>
        <w:spacing w:line="360" w:lineRule="auto"/>
        <w:ind w:firstLine="708"/>
        <w:jc w:val="both"/>
        <w:rPr>
          <w:b/>
          <w:bCs/>
          <w:color w:val="auto"/>
        </w:rPr>
      </w:pPr>
      <w:r>
        <w:t xml:space="preserve">Obecną umowę w rodzaju w ambulatoryjna opieka specjalistyczna realizujemy od 2011 roku. Umowa z NFZ obowiązuje </w:t>
      </w:r>
      <w:r>
        <w:rPr>
          <w:b/>
          <w:bCs/>
          <w:color w:val="auto"/>
        </w:rPr>
        <w:t xml:space="preserve">do 30.06.2026 r. </w:t>
      </w:r>
    </w:p>
    <w:p w14:paraId="2975AE69" w14:textId="77777777" w:rsidR="00A4257B" w:rsidRDefault="00A4257B" w:rsidP="00353243">
      <w:pPr>
        <w:pStyle w:val="Standard"/>
        <w:spacing w:line="360" w:lineRule="auto"/>
        <w:ind w:firstLine="708"/>
        <w:jc w:val="both"/>
        <w:rPr>
          <w:color w:val="auto"/>
        </w:rPr>
      </w:pPr>
    </w:p>
    <w:p w14:paraId="0E251A0A" w14:textId="4A9BDDB4" w:rsidR="00A4257B" w:rsidRDefault="00353243" w:rsidP="00353243">
      <w:pPr>
        <w:pStyle w:val="Standard"/>
        <w:spacing w:line="360" w:lineRule="auto"/>
        <w:jc w:val="both"/>
        <w:rPr>
          <w:color w:val="auto"/>
        </w:rPr>
      </w:pPr>
      <w:r>
        <w:t xml:space="preserve">W AOS realizowaliśmy świadczenia zdrowotne w 12 zakresach – w </w:t>
      </w:r>
      <w:r w:rsidR="00A4257B">
        <w:rPr>
          <w:color w:val="auto"/>
        </w:rPr>
        <w:t>16 poradniach</w:t>
      </w:r>
      <w:r>
        <w:rPr>
          <w:color w:val="auto"/>
        </w:rPr>
        <w:t>.</w:t>
      </w:r>
    </w:p>
    <w:p w14:paraId="4EC03D8E" w14:textId="40063E96" w:rsidR="00A4257B" w:rsidRDefault="00353243" w:rsidP="001B6286">
      <w:pPr>
        <w:pStyle w:val="Standard"/>
        <w:spacing w:line="360" w:lineRule="auto"/>
        <w:jc w:val="both"/>
      </w:pPr>
      <w:r w:rsidRPr="007A6D08">
        <w:t>Do 31.12. 2025</w:t>
      </w:r>
      <w:r>
        <w:t xml:space="preserve"> roku w poradniach specjalistycznych lekarze specjaliści udzielili </w:t>
      </w:r>
      <w:r>
        <w:rPr>
          <w:b/>
          <w:bCs/>
        </w:rPr>
        <w:t>93 539</w:t>
      </w:r>
      <w:r>
        <w:rPr>
          <w:b/>
          <w:bCs/>
          <w:color w:val="000000" w:themeColor="text1"/>
        </w:rPr>
        <w:t xml:space="preserve"> </w:t>
      </w:r>
      <w:r>
        <w:rPr>
          <w:b/>
          <w:bCs/>
        </w:rPr>
        <w:t>porad</w:t>
      </w:r>
      <w:r>
        <w:t xml:space="preserve">, w tym </w:t>
      </w:r>
      <w:r>
        <w:rPr>
          <w:b/>
          <w:bCs/>
        </w:rPr>
        <w:t>3 409 t</w:t>
      </w:r>
      <w:r>
        <w:t>eleporad.</w:t>
      </w:r>
    </w:p>
    <w:p w14:paraId="73045A6C" w14:textId="77777777" w:rsidR="00A4257B" w:rsidRDefault="00A4257B" w:rsidP="001B6286">
      <w:pPr>
        <w:pStyle w:val="Standard"/>
        <w:spacing w:line="360" w:lineRule="auto"/>
        <w:jc w:val="both"/>
      </w:pPr>
    </w:p>
    <w:p w14:paraId="3AD98883" w14:textId="1FC2C9CD" w:rsidR="00353243" w:rsidRDefault="00353243" w:rsidP="00353243">
      <w:pPr>
        <w:pStyle w:val="Standard"/>
        <w:spacing w:line="276" w:lineRule="auto"/>
        <w:jc w:val="both"/>
      </w:pPr>
      <w:r>
        <w:t>Ilość wykonanych porad/teleporad lekarzy AOS od 01.01.2025-31.12.2025 w podziale na poszczególne poradnie przedstawia</w:t>
      </w:r>
      <w:r w:rsidR="00154E7F">
        <w:t xml:space="preserve"> poniższa</w:t>
      </w:r>
      <w:r>
        <w:t xml:space="preserve"> tabela</w:t>
      </w:r>
      <w:r w:rsidR="00154E7F">
        <w:t>.</w:t>
      </w:r>
      <w:r>
        <w:t xml:space="preserve"> </w:t>
      </w:r>
    </w:p>
    <w:p w14:paraId="0E3A6651" w14:textId="77777777" w:rsidR="00353243" w:rsidRDefault="00353243" w:rsidP="00353243">
      <w:pPr>
        <w:pStyle w:val="Standard"/>
        <w:jc w:val="both"/>
        <w:rPr>
          <w:b/>
          <w:bCs/>
        </w:rPr>
      </w:pPr>
    </w:p>
    <w:tbl>
      <w:tblPr>
        <w:tblW w:w="9220" w:type="dxa"/>
        <w:tblCellMar>
          <w:left w:w="70" w:type="dxa"/>
          <w:right w:w="70" w:type="dxa"/>
        </w:tblCellMar>
        <w:tblLook w:val="04A0" w:firstRow="1" w:lastRow="0" w:firstColumn="1" w:lastColumn="0" w:noHBand="0" w:noVBand="1"/>
      </w:tblPr>
      <w:tblGrid>
        <w:gridCol w:w="1420"/>
        <w:gridCol w:w="2040"/>
        <w:gridCol w:w="2800"/>
        <w:gridCol w:w="2800"/>
        <w:gridCol w:w="160"/>
      </w:tblGrid>
      <w:tr w:rsidR="00353243" w14:paraId="217745DF" w14:textId="77777777">
        <w:trPr>
          <w:gridAfter w:val="1"/>
          <w:wAfter w:w="160" w:type="dxa"/>
          <w:trHeight w:val="458"/>
        </w:trPr>
        <w:tc>
          <w:tcPr>
            <w:tcW w:w="1420" w:type="dxa"/>
            <w:vMerge w:val="restart"/>
            <w:tcBorders>
              <w:top w:val="single" w:sz="8" w:space="0" w:color="auto"/>
              <w:left w:val="single" w:sz="8" w:space="0" w:color="auto"/>
              <w:bottom w:val="single" w:sz="8" w:space="0" w:color="000000"/>
              <w:right w:val="single" w:sz="8" w:space="0" w:color="auto"/>
            </w:tcBorders>
            <w:noWrap/>
            <w:vAlign w:val="center"/>
            <w:hideMark/>
          </w:tcPr>
          <w:p w14:paraId="7173F3A9"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Nr przychodni</w:t>
            </w:r>
          </w:p>
        </w:tc>
        <w:tc>
          <w:tcPr>
            <w:tcW w:w="2040" w:type="dxa"/>
            <w:vMerge w:val="restart"/>
            <w:tcBorders>
              <w:top w:val="single" w:sz="8" w:space="0" w:color="auto"/>
              <w:left w:val="nil"/>
              <w:bottom w:val="single" w:sz="8" w:space="0" w:color="000000"/>
              <w:right w:val="single" w:sz="4" w:space="0" w:color="auto"/>
            </w:tcBorders>
            <w:noWrap/>
            <w:vAlign w:val="center"/>
            <w:hideMark/>
          </w:tcPr>
          <w:p w14:paraId="08578A1E"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Zakres AOS</w:t>
            </w:r>
          </w:p>
        </w:tc>
        <w:tc>
          <w:tcPr>
            <w:tcW w:w="2800" w:type="dxa"/>
            <w:vMerge w:val="restart"/>
            <w:tcBorders>
              <w:top w:val="single" w:sz="8" w:space="0" w:color="auto"/>
              <w:left w:val="single" w:sz="4" w:space="0" w:color="auto"/>
              <w:bottom w:val="single" w:sz="8" w:space="0" w:color="000000"/>
              <w:right w:val="single" w:sz="4" w:space="0" w:color="auto"/>
            </w:tcBorders>
            <w:noWrap/>
            <w:vAlign w:val="center"/>
            <w:hideMark/>
          </w:tcPr>
          <w:p w14:paraId="215A4DC8"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Porady</w:t>
            </w:r>
          </w:p>
        </w:tc>
        <w:tc>
          <w:tcPr>
            <w:tcW w:w="2800" w:type="dxa"/>
            <w:vMerge w:val="restart"/>
            <w:tcBorders>
              <w:top w:val="single" w:sz="8" w:space="0" w:color="auto"/>
              <w:left w:val="single" w:sz="4" w:space="0" w:color="auto"/>
              <w:bottom w:val="single" w:sz="8" w:space="0" w:color="000000"/>
              <w:right w:val="single" w:sz="8" w:space="0" w:color="auto"/>
            </w:tcBorders>
            <w:noWrap/>
            <w:vAlign w:val="center"/>
            <w:hideMark/>
          </w:tcPr>
          <w:p w14:paraId="2066C3EE"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 xml:space="preserve">W tym teleporady </w:t>
            </w:r>
          </w:p>
        </w:tc>
      </w:tr>
      <w:tr w:rsidR="00353243" w14:paraId="37C826CB" w14:textId="77777777">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C04FA1" w14:textId="77777777" w:rsidR="00353243" w:rsidRDefault="00353243">
            <w:pPr>
              <w:suppressAutoHyphens w:val="0"/>
              <w:rPr>
                <w:rFonts w:ascii="Calibri" w:eastAsia="Times New Roman" w:hAnsi="Calibri" w:cs="Calibri"/>
                <w:b/>
                <w:bCs/>
                <w:kern w:val="0"/>
                <w:sz w:val="22"/>
                <w:szCs w:val="22"/>
                <w:lang w:eastAsia="pl-PL" w:bidi="ar-SA"/>
              </w:rPr>
            </w:pPr>
          </w:p>
        </w:tc>
        <w:tc>
          <w:tcPr>
            <w:tcW w:w="0" w:type="auto"/>
            <w:vMerge/>
            <w:tcBorders>
              <w:top w:val="single" w:sz="8" w:space="0" w:color="auto"/>
              <w:left w:val="nil"/>
              <w:bottom w:val="single" w:sz="8" w:space="0" w:color="000000"/>
              <w:right w:val="single" w:sz="4" w:space="0" w:color="auto"/>
            </w:tcBorders>
            <w:vAlign w:val="center"/>
            <w:hideMark/>
          </w:tcPr>
          <w:p w14:paraId="27BBC89A" w14:textId="77777777" w:rsidR="00353243" w:rsidRDefault="00353243">
            <w:pPr>
              <w:suppressAutoHyphens w:val="0"/>
              <w:rPr>
                <w:rFonts w:ascii="Calibri" w:eastAsia="Times New Roman" w:hAnsi="Calibri" w:cs="Calibri"/>
                <w:b/>
                <w:bCs/>
                <w:kern w:val="0"/>
                <w:sz w:val="22"/>
                <w:szCs w:val="22"/>
                <w:lang w:eastAsia="pl-PL" w:bidi="ar-S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A0B922F" w14:textId="77777777" w:rsidR="00353243" w:rsidRDefault="00353243">
            <w:pPr>
              <w:suppressAutoHyphens w:val="0"/>
              <w:rPr>
                <w:rFonts w:ascii="Calibri" w:eastAsia="Times New Roman" w:hAnsi="Calibri" w:cs="Calibri"/>
                <w:b/>
                <w:bCs/>
                <w:kern w:val="0"/>
                <w:sz w:val="22"/>
                <w:szCs w:val="22"/>
                <w:lang w:eastAsia="pl-PL" w:bidi="ar-SA"/>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58F417E6" w14:textId="77777777" w:rsidR="00353243" w:rsidRDefault="00353243">
            <w:pPr>
              <w:suppressAutoHyphens w:val="0"/>
              <w:rPr>
                <w:rFonts w:ascii="Calibri" w:eastAsia="Times New Roman" w:hAnsi="Calibri" w:cs="Calibri"/>
                <w:b/>
                <w:bCs/>
                <w:kern w:val="0"/>
                <w:sz w:val="22"/>
                <w:szCs w:val="22"/>
                <w:lang w:eastAsia="pl-PL" w:bidi="ar-SA"/>
              </w:rPr>
            </w:pPr>
          </w:p>
        </w:tc>
        <w:tc>
          <w:tcPr>
            <w:tcW w:w="160" w:type="dxa"/>
            <w:noWrap/>
            <w:vAlign w:val="bottom"/>
            <w:hideMark/>
          </w:tcPr>
          <w:p w14:paraId="2745B1F1" w14:textId="77777777" w:rsidR="00353243" w:rsidRDefault="00353243"/>
        </w:tc>
      </w:tr>
      <w:tr w:rsidR="00353243" w14:paraId="24E27901" w14:textId="77777777">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4851516" w14:textId="77777777" w:rsidR="00353243" w:rsidRDefault="00353243">
            <w:pPr>
              <w:suppressAutoHyphens w:val="0"/>
              <w:rPr>
                <w:rFonts w:ascii="Calibri" w:eastAsia="Times New Roman" w:hAnsi="Calibri" w:cs="Calibri"/>
                <w:b/>
                <w:bCs/>
                <w:kern w:val="0"/>
                <w:sz w:val="22"/>
                <w:szCs w:val="22"/>
                <w:lang w:eastAsia="pl-PL" w:bidi="ar-SA"/>
              </w:rPr>
            </w:pPr>
          </w:p>
        </w:tc>
        <w:tc>
          <w:tcPr>
            <w:tcW w:w="0" w:type="auto"/>
            <w:vMerge/>
            <w:tcBorders>
              <w:top w:val="single" w:sz="8" w:space="0" w:color="auto"/>
              <w:left w:val="nil"/>
              <w:bottom w:val="single" w:sz="8" w:space="0" w:color="000000"/>
              <w:right w:val="single" w:sz="4" w:space="0" w:color="auto"/>
            </w:tcBorders>
            <w:vAlign w:val="center"/>
            <w:hideMark/>
          </w:tcPr>
          <w:p w14:paraId="5086B094" w14:textId="77777777" w:rsidR="00353243" w:rsidRDefault="00353243">
            <w:pPr>
              <w:suppressAutoHyphens w:val="0"/>
              <w:rPr>
                <w:rFonts w:ascii="Calibri" w:eastAsia="Times New Roman" w:hAnsi="Calibri" w:cs="Calibri"/>
                <w:b/>
                <w:bCs/>
                <w:kern w:val="0"/>
                <w:sz w:val="22"/>
                <w:szCs w:val="22"/>
                <w:lang w:eastAsia="pl-PL" w:bidi="ar-S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A30F176" w14:textId="77777777" w:rsidR="00353243" w:rsidRDefault="00353243">
            <w:pPr>
              <w:suppressAutoHyphens w:val="0"/>
              <w:rPr>
                <w:rFonts w:ascii="Calibri" w:eastAsia="Times New Roman" w:hAnsi="Calibri" w:cs="Calibri"/>
                <w:b/>
                <w:bCs/>
                <w:kern w:val="0"/>
                <w:sz w:val="22"/>
                <w:szCs w:val="22"/>
                <w:lang w:eastAsia="pl-PL" w:bidi="ar-SA"/>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22AC1196" w14:textId="77777777" w:rsidR="00353243" w:rsidRDefault="00353243">
            <w:pPr>
              <w:suppressAutoHyphens w:val="0"/>
              <w:rPr>
                <w:rFonts w:ascii="Calibri" w:eastAsia="Times New Roman" w:hAnsi="Calibri" w:cs="Calibri"/>
                <w:b/>
                <w:bCs/>
                <w:kern w:val="0"/>
                <w:sz w:val="22"/>
                <w:szCs w:val="22"/>
                <w:lang w:eastAsia="pl-PL" w:bidi="ar-SA"/>
              </w:rPr>
            </w:pPr>
          </w:p>
        </w:tc>
        <w:tc>
          <w:tcPr>
            <w:tcW w:w="160" w:type="dxa"/>
            <w:noWrap/>
            <w:vAlign w:val="bottom"/>
            <w:hideMark/>
          </w:tcPr>
          <w:p w14:paraId="3E2B798A" w14:textId="77777777" w:rsidR="00353243" w:rsidRDefault="00353243">
            <w:pPr>
              <w:suppressAutoHyphens w:val="0"/>
              <w:rPr>
                <w:color w:val="auto"/>
                <w:kern w:val="0"/>
                <w:sz w:val="20"/>
                <w:szCs w:val="20"/>
                <w:lang w:eastAsia="pl-PL" w:bidi="ar-SA"/>
              </w:rPr>
            </w:pPr>
          </w:p>
        </w:tc>
      </w:tr>
      <w:tr w:rsidR="00353243" w14:paraId="29928432" w14:textId="77777777">
        <w:trPr>
          <w:trHeight w:val="300"/>
        </w:trPr>
        <w:tc>
          <w:tcPr>
            <w:tcW w:w="1420" w:type="dxa"/>
            <w:vMerge w:val="restart"/>
            <w:tcBorders>
              <w:top w:val="nil"/>
              <w:left w:val="single" w:sz="8" w:space="0" w:color="auto"/>
              <w:bottom w:val="single" w:sz="8" w:space="0" w:color="000000"/>
              <w:right w:val="single" w:sz="8" w:space="0" w:color="auto"/>
            </w:tcBorders>
            <w:noWrap/>
            <w:vAlign w:val="center"/>
            <w:hideMark/>
          </w:tcPr>
          <w:p w14:paraId="1F48D4FC" w14:textId="77777777" w:rsidR="00353243" w:rsidRDefault="00353243">
            <w:pPr>
              <w:widowControl/>
              <w:suppressAutoHyphens w:val="0"/>
              <w:jc w:val="center"/>
              <w:rPr>
                <w:rFonts w:ascii="Calibri" w:eastAsia="Times New Roman" w:hAnsi="Calibri" w:cs="Calibri"/>
                <w:b/>
                <w:bCs/>
                <w:kern w:val="0"/>
                <w:sz w:val="32"/>
                <w:szCs w:val="32"/>
                <w:lang w:eastAsia="pl-PL" w:bidi="ar-SA"/>
              </w:rPr>
            </w:pPr>
            <w:r>
              <w:rPr>
                <w:rFonts w:ascii="Calibri" w:eastAsia="Times New Roman" w:hAnsi="Calibri" w:cs="Calibri"/>
                <w:b/>
                <w:bCs/>
                <w:kern w:val="0"/>
                <w:sz w:val="32"/>
                <w:szCs w:val="32"/>
                <w:lang w:eastAsia="pl-PL" w:bidi="ar-SA"/>
              </w:rPr>
              <w:t>1</w:t>
            </w:r>
          </w:p>
        </w:tc>
        <w:tc>
          <w:tcPr>
            <w:tcW w:w="2040" w:type="dxa"/>
            <w:tcBorders>
              <w:top w:val="nil"/>
              <w:left w:val="nil"/>
              <w:bottom w:val="single" w:sz="4" w:space="0" w:color="auto"/>
              <w:right w:val="single" w:sz="4" w:space="0" w:color="auto"/>
            </w:tcBorders>
            <w:noWrap/>
            <w:vAlign w:val="center"/>
            <w:hideMark/>
          </w:tcPr>
          <w:p w14:paraId="481F952C"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KARDIOLOGIA</w:t>
            </w:r>
          </w:p>
        </w:tc>
        <w:tc>
          <w:tcPr>
            <w:tcW w:w="2800" w:type="dxa"/>
            <w:tcBorders>
              <w:top w:val="nil"/>
              <w:left w:val="nil"/>
              <w:bottom w:val="single" w:sz="4" w:space="0" w:color="auto"/>
              <w:right w:val="single" w:sz="4" w:space="0" w:color="auto"/>
            </w:tcBorders>
            <w:noWrap/>
            <w:vAlign w:val="bottom"/>
            <w:hideMark/>
          </w:tcPr>
          <w:p w14:paraId="7EAA99B7"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2269</w:t>
            </w:r>
          </w:p>
        </w:tc>
        <w:tc>
          <w:tcPr>
            <w:tcW w:w="2800" w:type="dxa"/>
            <w:tcBorders>
              <w:top w:val="nil"/>
              <w:left w:val="nil"/>
              <w:bottom w:val="single" w:sz="4" w:space="0" w:color="auto"/>
              <w:right w:val="single" w:sz="8" w:space="0" w:color="auto"/>
            </w:tcBorders>
            <w:noWrap/>
            <w:vAlign w:val="bottom"/>
            <w:hideMark/>
          </w:tcPr>
          <w:p w14:paraId="71D7EE6C"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73</w:t>
            </w:r>
          </w:p>
        </w:tc>
        <w:tc>
          <w:tcPr>
            <w:tcW w:w="160" w:type="dxa"/>
            <w:vAlign w:val="center"/>
            <w:hideMark/>
          </w:tcPr>
          <w:p w14:paraId="03E2A9A3" w14:textId="77777777" w:rsidR="00353243" w:rsidRDefault="00353243">
            <w:pPr>
              <w:rPr>
                <w:rFonts w:ascii="Calibri" w:eastAsia="Times New Roman" w:hAnsi="Calibri" w:cs="Calibri"/>
                <w:kern w:val="0"/>
                <w:sz w:val="22"/>
                <w:szCs w:val="22"/>
                <w:lang w:eastAsia="pl-PL" w:bidi="ar-SA"/>
              </w:rPr>
            </w:pPr>
          </w:p>
        </w:tc>
      </w:tr>
      <w:tr w:rsidR="00353243" w14:paraId="2E6433A5" w14:textId="77777777">
        <w:trPr>
          <w:trHeight w:val="315"/>
        </w:trPr>
        <w:tc>
          <w:tcPr>
            <w:tcW w:w="0" w:type="auto"/>
            <w:vMerge/>
            <w:tcBorders>
              <w:top w:val="nil"/>
              <w:left w:val="single" w:sz="8" w:space="0" w:color="auto"/>
              <w:bottom w:val="single" w:sz="8" w:space="0" w:color="000000"/>
              <w:right w:val="single" w:sz="8" w:space="0" w:color="auto"/>
            </w:tcBorders>
            <w:vAlign w:val="center"/>
            <w:hideMark/>
          </w:tcPr>
          <w:p w14:paraId="74E62B8E"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8" w:space="0" w:color="auto"/>
              <w:right w:val="single" w:sz="4" w:space="0" w:color="auto"/>
            </w:tcBorders>
            <w:noWrap/>
            <w:vAlign w:val="center"/>
            <w:hideMark/>
          </w:tcPr>
          <w:p w14:paraId="3D21EC09"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NEUROLOGIA</w:t>
            </w:r>
          </w:p>
        </w:tc>
        <w:tc>
          <w:tcPr>
            <w:tcW w:w="2800" w:type="dxa"/>
            <w:tcBorders>
              <w:top w:val="nil"/>
              <w:left w:val="nil"/>
              <w:bottom w:val="single" w:sz="8" w:space="0" w:color="auto"/>
              <w:right w:val="single" w:sz="4" w:space="0" w:color="auto"/>
            </w:tcBorders>
            <w:noWrap/>
            <w:vAlign w:val="bottom"/>
            <w:hideMark/>
          </w:tcPr>
          <w:p w14:paraId="5968DC13"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2653</w:t>
            </w:r>
          </w:p>
        </w:tc>
        <w:tc>
          <w:tcPr>
            <w:tcW w:w="2800" w:type="dxa"/>
            <w:tcBorders>
              <w:top w:val="nil"/>
              <w:left w:val="nil"/>
              <w:bottom w:val="single" w:sz="8" w:space="0" w:color="auto"/>
              <w:right w:val="single" w:sz="8" w:space="0" w:color="auto"/>
            </w:tcBorders>
            <w:noWrap/>
            <w:vAlign w:val="bottom"/>
            <w:hideMark/>
          </w:tcPr>
          <w:p w14:paraId="26CFB7B2"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105</w:t>
            </w:r>
          </w:p>
        </w:tc>
        <w:tc>
          <w:tcPr>
            <w:tcW w:w="160" w:type="dxa"/>
            <w:vAlign w:val="center"/>
            <w:hideMark/>
          </w:tcPr>
          <w:p w14:paraId="09C6E5A2" w14:textId="77777777" w:rsidR="00353243" w:rsidRDefault="00353243">
            <w:pPr>
              <w:rPr>
                <w:rFonts w:ascii="Calibri" w:eastAsia="Times New Roman" w:hAnsi="Calibri" w:cs="Calibri"/>
                <w:kern w:val="0"/>
                <w:sz w:val="22"/>
                <w:szCs w:val="22"/>
                <w:lang w:eastAsia="pl-PL" w:bidi="ar-SA"/>
              </w:rPr>
            </w:pPr>
          </w:p>
        </w:tc>
      </w:tr>
      <w:tr w:rsidR="00353243" w14:paraId="55B93E7C" w14:textId="77777777">
        <w:trPr>
          <w:trHeight w:val="420"/>
        </w:trPr>
        <w:tc>
          <w:tcPr>
            <w:tcW w:w="1420" w:type="dxa"/>
            <w:vMerge w:val="restart"/>
            <w:tcBorders>
              <w:top w:val="nil"/>
              <w:left w:val="single" w:sz="8" w:space="0" w:color="auto"/>
              <w:bottom w:val="single" w:sz="8" w:space="0" w:color="000000"/>
              <w:right w:val="single" w:sz="8" w:space="0" w:color="auto"/>
            </w:tcBorders>
            <w:noWrap/>
            <w:vAlign w:val="center"/>
            <w:hideMark/>
          </w:tcPr>
          <w:p w14:paraId="551E18D5" w14:textId="77777777" w:rsidR="00353243" w:rsidRDefault="00353243">
            <w:pPr>
              <w:widowControl/>
              <w:suppressAutoHyphens w:val="0"/>
              <w:jc w:val="center"/>
              <w:rPr>
                <w:rFonts w:ascii="Calibri" w:eastAsia="Times New Roman" w:hAnsi="Calibri" w:cs="Calibri"/>
                <w:b/>
                <w:bCs/>
                <w:kern w:val="0"/>
                <w:sz w:val="32"/>
                <w:szCs w:val="32"/>
                <w:lang w:eastAsia="pl-PL" w:bidi="ar-SA"/>
              </w:rPr>
            </w:pPr>
            <w:r>
              <w:rPr>
                <w:rFonts w:ascii="Calibri" w:eastAsia="Times New Roman" w:hAnsi="Calibri" w:cs="Calibri"/>
                <w:b/>
                <w:bCs/>
                <w:kern w:val="0"/>
                <w:sz w:val="32"/>
                <w:szCs w:val="32"/>
                <w:lang w:eastAsia="pl-PL" w:bidi="ar-SA"/>
              </w:rPr>
              <w:t>9</w:t>
            </w:r>
          </w:p>
        </w:tc>
        <w:tc>
          <w:tcPr>
            <w:tcW w:w="2040" w:type="dxa"/>
            <w:tcBorders>
              <w:top w:val="nil"/>
              <w:left w:val="nil"/>
              <w:bottom w:val="single" w:sz="4" w:space="0" w:color="auto"/>
              <w:right w:val="single" w:sz="4" w:space="0" w:color="auto"/>
            </w:tcBorders>
            <w:noWrap/>
            <w:vAlign w:val="center"/>
            <w:hideMark/>
          </w:tcPr>
          <w:p w14:paraId="7EAB7FB0"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DIABETOLOGIA</w:t>
            </w:r>
          </w:p>
        </w:tc>
        <w:tc>
          <w:tcPr>
            <w:tcW w:w="2800" w:type="dxa"/>
            <w:tcBorders>
              <w:top w:val="nil"/>
              <w:left w:val="nil"/>
              <w:bottom w:val="single" w:sz="4" w:space="0" w:color="auto"/>
              <w:right w:val="single" w:sz="4" w:space="0" w:color="auto"/>
            </w:tcBorders>
            <w:noWrap/>
            <w:vAlign w:val="center"/>
            <w:hideMark/>
          </w:tcPr>
          <w:p w14:paraId="144E7AC0"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6313</w:t>
            </w:r>
          </w:p>
        </w:tc>
        <w:tc>
          <w:tcPr>
            <w:tcW w:w="2800" w:type="dxa"/>
            <w:tcBorders>
              <w:top w:val="nil"/>
              <w:left w:val="nil"/>
              <w:bottom w:val="single" w:sz="4" w:space="0" w:color="auto"/>
              <w:right w:val="single" w:sz="8" w:space="0" w:color="auto"/>
            </w:tcBorders>
            <w:noWrap/>
            <w:vAlign w:val="center"/>
            <w:hideMark/>
          </w:tcPr>
          <w:p w14:paraId="21C7DC50"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117</w:t>
            </w:r>
          </w:p>
        </w:tc>
        <w:tc>
          <w:tcPr>
            <w:tcW w:w="160" w:type="dxa"/>
            <w:vAlign w:val="center"/>
            <w:hideMark/>
          </w:tcPr>
          <w:p w14:paraId="0B5BA442" w14:textId="77777777" w:rsidR="00353243" w:rsidRDefault="00353243">
            <w:pPr>
              <w:rPr>
                <w:rFonts w:ascii="Calibri" w:eastAsia="Times New Roman" w:hAnsi="Calibri" w:cs="Calibri"/>
                <w:kern w:val="0"/>
                <w:sz w:val="22"/>
                <w:szCs w:val="22"/>
                <w:lang w:eastAsia="pl-PL" w:bidi="ar-SA"/>
              </w:rPr>
            </w:pPr>
          </w:p>
        </w:tc>
      </w:tr>
      <w:tr w:rsidR="00353243" w14:paraId="7C9E0195"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3E9EF1F7"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72B55F2D"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ENDOKRYNOLOGIA</w:t>
            </w:r>
          </w:p>
        </w:tc>
        <w:tc>
          <w:tcPr>
            <w:tcW w:w="2800" w:type="dxa"/>
            <w:tcBorders>
              <w:top w:val="nil"/>
              <w:left w:val="nil"/>
              <w:bottom w:val="single" w:sz="4" w:space="0" w:color="auto"/>
              <w:right w:val="single" w:sz="4" w:space="0" w:color="auto"/>
            </w:tcBorders>
            <w:noWrap/>
            <w:vAlign w:val="center"/>
            <w:hideMark/>
          </w:tcPr>
          <w:p w14:paraId="3311485F"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6154</w:t>
            </w:r>
          </w:p>
        </w:tc>
        <w:tc>
          <w:tcPr>
            <w:tcW w:w="2800" w:type="dxa"/>
            <w:tcBorders>
              <w:top w:val="nil"/>
              <w:left w:val="nil"/>
              <w:bottom w:val="single" w:sz="4" w:space="0" w:color="auto"/>
              <w:right w:val="single" w:sz="8" w:space="0" w:color="auto"/>
            </w:tcBorders>
            <w:noWrap/>
            <w:vAlign w:val="center"/>
            <w:hideMark/>
          </w:tcPr>
          <w:p w14:paraId="39122447"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513</w:t>
            </w:r>
          </w:p>
        </w:tc>
        <w:tc>
          <w:tcPr>
            <w:tcW w:w="160" w:type="dxa"/>
            <w:vAlign w:val="center"/>
            <w:hideMark/>
          </w:tcPr>
          <w:p w14:paraId="08068160" w14:textId="77777777" w:rsidR="00353243" w:rsidRDefault="00353243">
            <w:pPr>
              <w:rPr>
                <w:rFonts w:ascii="Calibri" w:eastAsia="Times New Roman" w:hAnsi="Calibri" w:cs="Calibri"/>
                <w:kern w:val="0"/>
                <w:sz w:val="22"/>
                <w:szCs w:val="22"/>
                <w:lang w:eastAsia="pl-PL" w:bidi="ar-SA"/>
              </w:rPr>
            </w:pPr>
          </w:p>
        </w:tc>
      </w:tr>
      <w:tr w:rsidR="00353243" w14:paraId="08AE5D2B"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54AFBCCB"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74EAA7C3"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DERMATOLOGIA</w:t>
            </w:r>
          </w:p>
        </w:tc>
        <w:tc>
          <w:tcPr>
            <w:tcW w:w="2800" w:type="dxa"/>
            <w:tcBorders>
              <w:top w:val="nil"/>
              <w:left w:val="nil"/>
              <w:bottom w:val="single" w:sz="4" w:space="0" w:color="auto"/>
              <w:right w:val="single" w:sz="4" w:space="0" w:color="auto"/>
            </w:tcBorders>
            <w:noWrap/>
            <w:vAlign w:val="center"/>
            <w:hideMark/>
          </w:tcPr>
          <w:p w14:paraId="6932D2E2"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5797</w:t>
            </w:r>
          </w:p>
        </w:tc>
        <w:tc>
          <w:tcPr>
            <w:tcW w:w="2800" w:type="dxa"/>
            <w:tcBorders>
              <w:top w:val="nil"/>
              <w:left w:val="nil"/>
              <w:bottom w:val="single" w:sz="4" w:space="0" w:color="auto"/>
              <w:right w:val="single" w:sz="8" w:space="0" w:color="auto"/>
            </w:tcBorders>
            <w:noWrap/>
            <w:vAlign w:val="center"/>
            <w:hideMark/>
          </w:tcPr>
          <w:p w14:paraId="5DD1096F"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157</w:t>
            </w:r>
          </w:p>
        </w:tc>
        <w:tc>
          <w:tcPr>
            <w:tcW w:w="160" w:type="dxa"/>
            <w:vAlign w:val="center"/>
            <w:hideMark/>
          </w:tcPr>
          <w:p w14:paraId="3763BF4A" w14:textId="77777777" w:rsidR="00353243" w:rsidRDefault="00353243">
            <w:pPr>
              <w:rPr>
                <w:rFonts w:ascii="Calibri" w:eastAsia="Times New Roman" w:hAnsi="Calibri" w:cs="Calibri"/>
                <w:kern w:val="0"/>
                <w:sz w:val="22"/>
                <w:szCs w:val="22"/>
                <w:lang w:eastAsia="pl-PL" w:bidi="ar-SA"/>
              </w:rPr>
            </w:pPr>
          </w:p>
        </w:tc>
      </w:tr>
      <w:tr w:rsidR="00353243" w14:paraId="2833266A"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2438E196"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3532FC5A"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NEUROLOGIA</w:t>
            </w:r>
          </w:p>
        </w:tc>
        <w:tc>
          <w:tcPr>
            <w:tcW w:w="2800" w:type="dxa"/>
            <w:tcBorders>
              <w:top w:val="nil"/>
              <w:left w:val="nil"/>
              <w:bottom w:val="single" w:sz="4" w:space="0" w:color="auto"/>
              <w:right w:val="single" w:sz="4" w:space="0" w:color="auto"/>
            </w:tcBorders>
            <w:noWrap/>
            <w:vAlign w:val="center"/>
            <w:hideMark/>
          </w:tcPr>
          <w:p w14:paraId="0007DFC4"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3323</w:t>
            </w:r>
          </w:p>
        </w:tc>
        <w:tc>
          <w:tcPr>
            <w:tcW w:w="2800" w:type="dxa"/>
            <w:tcBorders>
              <w:top w:val="nil"/>
              <w:left w:val="nil"/>
              <w:bottom w:val="single" w:sz="4" w:space="0" w:color="auto"/>
              <w:right w:val="single" w:sz="8" w:space="0" w:color="auto"/>
            </w:tcBorders>
            <w:noWrap/>
            <w:vAlign w:val="center"/>
            <w:hideMark/>
          </w:tcPr>
          <w:p w14:paraId="4920183A"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66</w:t>
            </w:r>
          </w:p>
        </w:tc>
        <w:tc>
          <w:tcPr>
            <w:tcW w:w="160" w:type="dxa"/>
            <w:vAlign w:val="center"/>
            <w:hideMark/>
          </w:tcPr>
          <w:p w14:paraId="6F4E417C" w14:textId="77777777" w:rsidR="00353243" w:rsidRDefault="00353243">
            <w:pPr>
              <w:rPr>
                <w:rFonts w:ascii="Calibri" w:eastAsia="Times New Roman" w:hAnsi="Calibri" w:cs="Calibri"/>
                <w:kern w:val="0"/>
                <w:sz w:val="22"/>
                <w:szCs w:val="22"/>
                <w:lang w:eastAsia="pl-PL" w:bidi="ar-SA"/>
              </w:rPr>
            </w:pPr>
          </w:p>
        </w:tc>
      </w:tr>
      <w:tr w:rsidR="00353243" w14:paraId="1E845ABE"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4D55676E"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606DC645"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KARDIOLOGIA</w:t>
            </w:r>
          </w:p>
        </w:tc>
        <w:tc>
          <w:tcPr>
            <w:tcW w:w="2800" w:type="dxa"/>
            <w:tcBorders>
              <w:top w:val="nil"/>
              <w:left w:val="nil"/>
              <w:bottom w:val="single" w:sz="4" w:space="0" w:color="auto"/>
              <w:right w:val="single" w:sz="4" w:space="0" w:color="auto"/>
            </w:tcBorders>
            <w:noWrap/>
            <w:vAlign w:val="center"/>
            <w:hideMark/>
          </w:tcPr>
          <w:p w14:paraId="6E5C20B4"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3984</w:t>
            </w:r>
          </w:p>
        </w:tc>
        <w:tc>
          <w:tcPr>
            <w:tcW w:w="2800" w:type="dxa"/>
            <w:tcBorders>
              <w:top w:val="nil"/>
              <w:left w:val="nil"/>
              <w:bottom w:val="single" w:sz="4" w:space="0" w:color="auto"/>
              <w:right w:val="single" w:sz="8" w:space="0" w:color="auto"/>
            </w:tcBorders>
            <w:noWrap/>
            <w:vAlign w:val="center"/>
            <w:hideMark/>
          </w:tcPr>
          <w:p w14:paraId="5F5F78D9"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103</w:t>
            </w:r>
          </w:p>
        </w:tc>
        <w:tc>
          <w:tcPr>
            <w:tcW w:w="160" w:type="dxa"/>
            <w:vAlign w:val="center"/>
            <w:hideMark/>
          </w:tcPr>
          <w:p w14:paraId="6CAC068E" w14:textId="77777777" w:rsidR="00353243" w:rsidRDefault="00353243">
            <w:pPr>
              <w:rPr>
                <w:rFonts w:ascii="Calibri" w:eastAsia="Times New Roman" w:hAnsi="Calibri" w:cs="Calibri"/>
                <w:kern w:val="0"/>
                <w:sz w:val="22"/>
                <w:szCs w:val="22"/>
                <w:lang w:eastAsia="pl-PL" w:bidi="ar-SA"/>
              </w:rPr>
            </w:pPr>
          </w:p>
        </w:tc>
      </w:tr>
      <w:tr w:rsidR="00353243" w14:paraId="70F23706"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5699E6E4"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693B97AF"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GINEKOLOGIA</w:t>
            </w:r>
          </w:p>
        </w:tc>
        <w:tc>
          <w:tcPr>
            <w:tcW w:w="2800" w:type="dxa"/>
            <w:tcBorders>
              <w:top w:val="nil"/>
              <w:left w:val="nil"/>
              <w:bottom w:val="single" w:sz="4" w:space="0" w:color="auto"/>
              <w:right w:val="single" w:sz="4" w:space="0" w:color="auto"/>
            </w:tcBorders>
            <w:noWrap/>
            <w:vAlign w:val="center"/>
            <w:hideMark/>
          </w:tcPr>
          <w:p w14:paraId="2E371321"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11737</w:t>
            </w:r>
          </w:p>
        </w:tc>
        <w:tc>
          <w:tcPr>
            <w:tcW w:w="2800" w:type="dxa"/>
            <w:tcBorders>
              <w:top w:val="nil"/>
              <w:left w:val="nil"/>
              <w:bottom w:val="single" w:sz="4" w:space="0" w:color="auto"/>
              <w:right w:val="single" w:sz="8" w:space="0" w:color="auto"/>
            </w:tcBorders>
            <w:noWrap/>
            <w:vAlign w:val="center"/>
            <w:hideMark/>
          </w:tcPr>
          <w:p w14:paraId="11E5AAD0"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728</w:t>
            </w:r>
          </w:p>
        </w:tc>
        <w:tc>
          <w:tcPr>
            <w:tcW w:w="160" w:type="dxa"/>
            <w:vAlign w:val="center"/>
            <w:hideMark/>
          </w:tcPr>
          <w:p w14:paraId="32D6AE87" w14:textId="77777777" w:rsidR="00353243" w:rsidRDefault="00353243">
            <w:pPr>
              <w:rPr>
                <w:rFonts w:ascii="Calibri" w:eastAsia="Times New Roman" w:hAnsi="Calibri" w:cs="Calibri"/>
                <w:kern w:val="0"/>
                <w:sz w:val="22"/>
                <w:szCs w:val="22"/>
                <w:lang w:eastAsia="pl-PL" w:bidi="ar-SA"/>
              </w:rPr>
            </w:pPr>
          </w:p>
        </w:tc>
      </w:tr>
      <w:tr w:rsidR="00353243" w14:paraId="2DE3E6C1"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1735D40C"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0714955F"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P. CHORÓB PIERSI*</w:t>
            </w:r>
          </w:p>
        </w:tc>
        <w:tc>
          <w:tcPr>
            <w:tcW w:w="2800" w:type="dxa"/>
            <w:tcBorders>
              <w:top w:val="nil"/>
              <w:left w:val="nil"/>
              <w:bottom w:val="single" w:sz="4" w:space="0" w:color="auto"/>
              <w:right w:val="single" w:sz="4" w:space="0" w:color="auto"/>
            </w:tcBorders>
            <w:noWrap/>
            <w:vAlign w:val="bottom"/>
            <w:hideMark/>
          </w:tcPr>
          <w:p w14:paraId="3BB31C27"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5731</w:t>
            </w:r>
          </w:p>
        </w:tc>
        <w:tc>
          <w:tcPr>
            <w:tcW w:w="2800" w:type="dxa"/>
            <w:tcBorders>
              <w:top w:val="nil"/>
              <w:left w:val="nil"/>
              <w:bottom w:val="single" w:sz="4" w:space="0" w:color="auto"/>
              <w:right w:val="single" w:sz="8" w:space="0" w:color="auto"/>
            </w:tcBorders>
            <w:noWrap/>
            <w:vAlign w:val="bottom"/>
            <w:hideMark/>
          </w:tcPr>
          <w:p w14:paraId="614BD850"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472</w:t>
            </w:r>
          </w:p>
        </w:tc>
        <w:tc>
          <w:tcPr>
            <w:tcW w:w="160" w:type="dxa"/>
            <w:vAlign w:val="center"/>
            <w:hideMark/>
          </w:tcPr>
          <w:p w14:paraId="35B64E3A" w14:textId="77777777" w:rsidR="00353243" w:rsidRDefault="00353243">
            <w:pPr>
              <w:rPr>
                <w:rFonts w:ascii="Calibri" w:eastAsia="Times New Roman" w:hAnsi="Calibri" w:cs="Calibri"/>
                <w:kern w:val="0"/>
                <w:sz w:val="22"/>
                <w:szCs w:val="22"/>
                <w:lang w:eastAsia="pl-PL" w:bidi="ar-SA"/>
              </w:rPr>
            </w:pPr>
          </w:p>
        </w:tc>
      </w:tr>
      <w:tr w:rsidR="00353243" w14:paraId="5330DB0C"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1B18523B"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0F176C4A"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GRUŹLICA</w:t>
            </w:r>
          </w:p>
        </w:tc>
        <w:tc>
          <w:tcPr>
            <w:tcW w:w="2800" w:type="dxa"/>
            <w:tcBorders>
              <w:top w:val="nil"/>
              <w:left w:val="nil"/>
              <w:bottom w:val="single" w:sz="4" w:space="0" w:color="auto"/>
              <w:right w:val="single" w:sz="4" w:space="0" w:color="auto"/>
            </w:tcBorders>
            <w:noWrap/>
            <w:vAlign w:val="center"/>
            <w:hideMark/>
          </w:tcPr>
          <w:p w14:paraId="10A217F8"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6590</w:t>
            </w:r>
          </w:p>
        </w:tc>
        <w:tc>
          <w:tcPr>
            <w:tcW w:w="2800" w:type="dxa"/>
            <w:tcBorders>
              <w:top w:val="nil"/>
              <w:left w:val="nil"/>
              <w:bottom w:val="single" w:sz="4" w:space="0" w:color="auto"/>
              <w:right w:val="single" w:sz="8" w:space="0" w:color="auto"/>
            </w:tcBorders>
            <w:noWrap/>
            <w:vAlign w:val="center"/>
            <w:hideMark/>
          </w:tcPr>
          <w:p w14:paraId="357E4AB4"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122</w:t>
            </w:r>
          </w:p>
        </w:tc>
        <w:tc>
          <w:tcPr>
            <w:tcW w:w="160" w:type="dxa"/>
            <w:vAlign w:val="center"/>
            <w:hideMark/>
          </w:tcPr>
          <w:p w14:paraId="4904AB6A" w14:textId="77777777" w:rsidR="00353243" w:rsidRDefault="00353243">
            <w:pPr>
              <w:rPr>
                <w:rFonts w:ascii="Calibri" w:eastAsia="Times New Roman" w:hAnsi="Calibri" w:cs="Calibri"/>
                <w:kern w:val="0"/>
                <w:sz w:val="22"/>
                <w:szCs w:val="22"/>
                <w:lang w:eastAsia="pl-PL" w:bidi="ar-SA"/>
              </w:rPr>
            </w:pPr>
          </w:p>
        </w:tc>
      </w:tr>
      <w:tr w:rsidR="00353243" w14:paraId="72BAC351"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14503786"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646ED330"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REUMATOLOGIA</w:t>
            </w:r>
          </w:p>
        </w:tc>
        <w:tc>
          <w:tcPr>
            <w:tcW w:w="2800" w:type="dxa"/>
            <w:tcBorders>
              <w:top w:val="nil"/>
              <w:left w:val="nil"/>
              <w:bottom w:val="single" w:sz="4" w:space="0" w:color="auto"/>
              <w:right w:val="single" w:sz="4" w:space="0" w:color="auto"/>
            </w:tcBorders>
            <w:noWrap/>
            <w:vAlign w:val="center"/>
            <w:hideMark/>
          </w:tcPr>
          <w:p w14:paraId="0AA8CB88"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4495</w:t>
            </w:r>
          </w:p>
        </w:tc>
        <w:tc>
          <w:tcPr>
            <w:tcW w:w="2800" w:type="dxa"/>
            <w:tcBorders>
              <w:top w:val="nil"/>
              <w:left w:val="nil"/>
              <w:bottom w:val="single" w:sz="4" w:space="0" w:color="auto"/>
              <w:right w:val="single" w:sz="8" w:space="0" w:color="auto"/>
            </w:tcBorders>
            <w:noWrap/>
            <w:vAlign w:val="center"/>
            <w:hideMark/>
          </w:tcPr>
          <w:p w14:paraId="0894D3E3"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369</w:t>
            </w:r>
          </w:p>
        </w:tc>
        <w:tc>
          <w:tcPr>
            <w:tcW w:w="160" w:type="dxa"/>
            <w:vAlign w:val="center"/>
            <w:hideMark/>
          </w:tcPr>
          <w:p w14:paraId="509156C6" w14:textId="77777777" w:rsidR="00353243" w:rsidRDefault="00353243">
            <w:pPr>
              <w:rPr>
                <w:rFonts w:ascii="Calibri" w:eastAsia="Times New Roman" w:hAnsi="Calibri" w:cs="Calibri"/>
                <w:kern w:val="0"/>
                <w:sz w:val="22"/>
                <w:szCs w:val="22"/>
                <w:lang w:eastAsia="pl-PL" w:bidi="ar-SA"/>
              </w:rPr>
            </w:pPr>
          </w:p>
        </w:tc>
      </w:tr>
      <w:tr w:rsidR="00353243" w14:paraId="2C6DC061"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01E3EF05"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20553835"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CHIRURGIA</w:t>
            </w:r>
          </w:p>
        </w:tc>
        <w:tc>
          <w:tcPr>
            <w:tcW w:w="2800" w:type="dxa"/>
            <w:tcBorders>
              <w:top w:val="nil"/>
              <w:left w:val="nil"/>
              <w:bottom w:val="single" w:sz="4" w:space="0" w:color="auto"/>
              <w:right w:val="single" w:sz="4" w:space="0" w:color="auto"/>
            </w:tcBorders>
            <w:noWrap/>
            <w:vAlign w:val="center"/>
            <w:hideMark/>
          </w:tcPr>
          <w:p w14:paraId="005A153D"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10157</w:t>
            </w:r>
          </w:p>
        </w:tc>
        <w:tc>
          <w:tcPr>
            <w:tcW w:w="2800" w:type="dxa"/>
            <w:tcBorders>
              <w:top w:val="nil"/>
              <w:left w:val="nil"/>
              <w:bottom w:val="single" w:sz="4" w:space="0" w:color="auto"/>
              <w:right w:val="single" w:sz="8" w:space="0" w:color="auto"/>
            </w:tcBorders>
            <w:noWrap/>
            <w:vAlign w:val="center"/>
            <w:hideMark/>
          </w:tcPr>
          <w:p w14:paraId="1AED7052"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282</w:t>
            </w:r>
          </w:p>
        </w:tc>
        <w:tc>
          <w:tcPr>
            <w:tcW w:w="160" w:type="dxa"/>
            <w:vAlign w:val="center"/>
            <w:hideMark/>
          </w:tcPr>
          <w:p w14:paraId="21FAC53F" w14:textId="77777777" w:rsidR="00353243" w:rsidRDefault="00353243">
            <w:pPr>
              <w:rPr>
                <w:rFonts w:ascii="Calibri" w:eastAsia="Times New Roman" w:hAnsi="Calibri" w:cs="Calibri"/>
                <w:kern w:val="0"/>
                <w:sz w:val="22"/>
                <w:szCs w:val="22"/>
                <w:lang w:eastAsia="pl-PL" w:bidi="ar-SA"/>
              </w:rPr>
            </w:pPr>
          </w:p>
        </w:tc>
      </w:tr>
      <w:tr w:rsidR="00353243" w14:paraId="2820A509"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097A0F73"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2AAF69D3"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OTOLARYNGOLOGIA</w:t>
            </w:r>
          </w:p>
        </w:tc>
        <w:tc>
          <w:tcPr>
            <w:tcW w:w="2800" w:type="dxa"/>
            <w:tcBorders>
              <w:top w:val="nil"/>
              <w:left w:val="nil"/>
              <w:bottom w:val="single" w:sz="4" w:space="0" w:color="auto"/>
              <w:right w:val="single" w:sz="4" w:space="0" w:color="auto"/>
            </w:tcBorders>
            <w:noWrap/>
            <w:vAlign w:val="center"/>
            <w:hideMark/>
          </w:tcPr>
          <w:p w14:paraId="267B7C3A"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11316</w:t>
            </w:r>
          </w:p>
        </w:tc>
        <w:tc>
          <w:tcPr>
            <w:tcW w:w="2800" w:type="dxa"/>
            <w:tcBorders>
              <w:top w:val="nil"/>
              <w:left w:val="nil"/>
              <w:bottom w:val="single" w:sz="4" w:space="0" w:color="auto"/>
              <w:right w:val="single" w:sz="8" w:space="0" w:color="auto"/>
            </w:tcBorders>
            <w:noWrap/>
            <w:vAlign w:val="center"/>
            <w:hideMark/>
          </w:tcPr>
          <w:p w14:paraId="6A5975DD"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151</w:t>
            </w:r>
          </w:p>
        </w:tc>
        <w:tc>
          <w:tcPr>
            <w:tcW w:w="160" w:type="dxa"/>
            <w:vAlign w:val="center"/>
            <w:hideMark/>
          </w:tcPr>
          <w:p w14:paraId="050B935A" w14:textId="77777777" w:rsidR="00353243" w:rsidRDefault="00353243">
            <w:pPr>
              <w:rPr>
                <w:rFonts w:ascii="Calibri" w:eastAsia="Times New Roman" w:hAnsi="Calibri" w:cs="Calibri"/>
                <w:kern w:val="0"/>
                <w:sz w:val="22"/>
                <w:szCs w:val="22"/>
                <w:lang w:eastAsia="pl-PL" w:bidi="ar-SA"/>
              </w:rPr>
            </w:pPr>
          </w:p>
        </w:tc>
      </w:tr>
      <w:tr w:rsidR="00353243" w14:paraId="1DB0681F"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07680CBC"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4" w:space="0" w:color="auto"/>
              <w:right w:val="single" w:sz="4" w:space="0" w:color="auto"/>
            </w:tcBorders>
            <w:noWrap/>
            <w:vAlign w:val="center"/>
            <w:hideMark/>
          </w:tcPr>
          <w:p w14:paraId="3DBD4032"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OKULISTYKA</w:t>
            </w:r>
          </w:p>
        </w:tc>
        <w:tc>
          <w:tcPr>
            <w:tcW w:w="2800" w:type="dxa"/>
            <w:tcBorders>
              <w:top w:val="nil"/>
              <w:left w:val="nil"/>
              <w:bottom w:val="single" w:sz="4" w:space="0" w:color="auto"/>
              <w:right w:val="single" w:sz="4" w:space="0" w:color="auto"/>
            </w:tcBorders>
            <w:noWrap/>
            <w:vAlign w:val="center"/>
            <w:hideMark/>
          </w:tcPr>
          <w:p w14:paraId="205484F9"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7774</w:t>
            </w:r>
          </w:p>
        </w:tc>
        <w:tc>
          <w:tcPr>
            <w:tcW w:w="2800" w:type="dxa"/>
            <w:tcBorders>
              <w:top w:val="nil"/>
              <w:left w:val="nil"/>
              <w:bottom w:val="single" w:sz="4" w:space="0" w:color="auto"/>
              <w:right w:val="single" w:sz="8" w:space="0" w:color="auto"/>
            </w:tcBorders>
            <w:noWrap/>
            <w:vAlign w:val="center"/>
            <w:hideMark/>
          </w:tcPr>
          <w:p w14:paraId="657E10E2"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20</w:t>
            </w:r>
          </w:p>
        </w:tc>
        <w:tc>
          <w:tcPr>
            <w:tcW w:w="160" w:type="dxa"/>
            <w:vAlign w:val="center"/>
            <w:hideMark/>
          </w:tcPr>
          <w:p w14:paraId="305A926F" w14:textId="77777777" w:rsidR="00353243" w:rsidRDefault="00353243">
            <w:pPr>
              <w:rPr>
                <w:rFonts w:ascii="Calibri" w:eastAsia="Times New Roman" w:hAnsi="Calibri" w:cs="Calibri"/>
                <w:kern w:val="0"/>
                <w:sz w:val="22"/>
                <w:szCs w:val="22"/>
                <w:lang w:eastAsia="pl-PL" w:bidi="ar-SA"/>
              </w:rPr>
            </w:pPr>
          </w:p>
        </w:tc>
      </w:tr>
      <w:tr w:rsidR="00353243" w14:paraId="5F634469" w14:textId="77777777">
        <w:trPr>
          <w:trHeight w:val="60"/>
        </w:trPr>
        <w:tc>
          <w:tcPr>
            <w:tcW w:w="1420" w:type="dxa"/>
            <w:vMerge w:val="restart"/>
            <w:tcBorders>
              <w:top w:val="nil"/>
              <w:left w:val="single" w:sz="8" w:space="0" w:color="auto"/>
              <w:bottom w:val="single" w:sz="8" w:space="0" w:color="000000"/>
              <w:right w:val="single" w:sz="8" w:space="0" w:color="auto"/>
            </w:tcBorders>
            <w:noWrap/>
            <w:vAlign w:val="center"/>
            <w:hideMark/>
          </w:tcPr>
          <w:p w14:paraId="13971ECB" w14:textId="77777777" w:rsidR="00353243" w:rsidRDefault="00353243">
            <w:pPr>
              <w:widowControl/>
              <w:suppressAutoHyphens w:val="0"/>
              <w:jc w:val="center"/>
              <w:rPr>
                <w:rFonts w:ascii="Calibri" w:eastAsia="Times New Roman" w:hAnsi="Calibri" w:cs="Calibri"/>
                <w:b/>
                <w:bCs/>
                <w:kern w:val="0"/>
                <w:sz w:val="32"/>
                <w:szCs w:val="32"/>
                <w:lang w:eastAsia="pl-PL" w:bidi="ar-SA"/>
              </w:rPr>
            </w:pPr>
            <w:r>
              <w:rPr>
                <w:rFonts w:ascii="Calibri" w:eastAsia="Times New Roman" w:hAnsi="Calibri" w:cs="Calibri"/>
                <w:b/>
                <w:bCs/>
                <w:kern w:val="0"/>
                <w:sz w:val="32"/>
                <w:szCs w:val="32"/>
                <w:lang w:eastAsia="pl-PL" w:bidi="ar-SA"/>
              </w:rPr>
              <w:t>10</w:t>
            </w:r>
          </w:p>
        </w:tc>
        <w:tc>
          <w:tcPr>
            <w:tcW w:w="2040" w:type="dxa"/>
            <w:vMerge w:val="restart"/>
            <w:tcBorders>
              <w:top w:val="nil"/>
              <w:left w:val="nil"/>
              <w:bottom w:val="single" w:sz="4" w:space="0" w:color="auto"/>
              <w:right w:val="single" w:sz="4" w:space="0" w:color="auto"/>
            </w:tcBorders>
            <w:noWrap/>
            <w:vAlign w:val="center"/>
            <w:hideMark/>
          </w:tcPr>
          <w:p w14:paraId="278507B2"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GINEKOLOGIA</w:t>
            </w:r>
          </w:p>
        </w:tc>
        <w:tc>
          <w:tcPr>
            <w:tcW w:w="2800" w:type="dxa"/>
            <w:vMerge w:val="restart"/>
            <w:tcBorders>
              <w:top w:val="nil"/>
              <w:left w:val="nil"/>
              <w:bottom w:val="single" w:sz="4" w:space="0" w:color="auto"/>
              <w:right w:val="single" w:sz="4" w:space="0" w:color="auto"/>
            </w:tcBorders>
            <w:noWrap/>
            <w:vAlign w:val="center"/>
            <w:hideMark/>
          </w:tcPr>
          <w:p w14:paraId="3585091D"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2991</w:t>
            </w:r>
          </w:p>
        </w:tc>
        <w:tc>
          <w:tcPr>
            <w:tcW w:w="2800" w:type="dxa"/>
            <w:vMerge w:val="restart"/>
            <w:tcBorders>
              <w:top w:val="nil"/>
              <w:left w:val="nil"/>
              <w:bottom w:val="single" w:sz="4" w:space="0" w:color="auto"/>
              <w:right w:val="single" w:sz="8" w:space="0" w:color="auto"/>
            </w:tcBorders>
            <w:noWrap/>
            <w:vAlign w:val="center"/>
            <w:hideMark/>
          </w:tcPr>
          <w:p w14:paraId="4BBB6205"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49</w:t>
            </w:r>
          </w:p>
        </w:tc>
        <w:tc>
          <w:tcPr>
            <w:tcW w:w="160" w:type="dxa"/>
            <w:vAlign w:val="center"/>
            <w:hideMark/>
          </w:tcPr>
          <w:p w14:paraId="6EAC3467" w14:textId="77777777" w:rsidR="00353243" w:rsidRDefault="00353243">
            <w:pPr>
              <w:rPr>
                <w:rFonts w:ascii="Calibri" w:eastAsia="Times New Roman" w:hAnsi="Calibri" w:cs="Calibri"/>
                <w:kern w:val="0"/>
                <w:sz w:val="22"/>
                <w:szCs w:val="22"/>
                <w:lang w:eastAsia="pl-PL" w:bidi="ar-SA"/>
              </w:rPr>
            </w:pPr>
          </w:p>
        </w:tc>
      </w:tr>
      <w:tr w:rsidR="00353243" w14:paraId="4336A3D3" w14:textId="77777777">
        <w:trPr>
          <w:trHeight w:val="300"/>
        </w:trPr>
        <w:tc>
          <w:tcPr>
            <w:tcW w:w="0" w:type="auto"/>
            <w:vMerge/>
            <w:tcBorders>
              <w:top w:val="nil"/>
              <w:left w:val="single" w:sz="8" w:space="0" w:color="auto"/>
              <w:bottom w:val="single" w:sz="8" w:space="0" w:color="000000"/>
              <w:right w:val="single" w:sz="8" w:space="0" w:color="auto"/>
            </w:tcBorders>
            <w:vAlign w:val="center"/>
            <w:hideMark/>
          </w:tcPr>
          <w:p w14:paraId="7E4446AF" w14:textId="77777777" w:rsidR="00353243" w:rsidRDefault="00353243">
            <w:pPr>
              <w:suppressAutoHyphens w:val="0"/>
              <w:rPr>
                <w:rFonts w:ascii="Calibri" w:eastAsia="Times New Roman" w:hAnsi="Calibri" w:cs="Calibri"/>
                <w:b/>
                <w:bCs/>
                <w:kern w:val="0"/>
                <w:sz w:val="32"/>
                <w:szCs w:val="32"/>
                <w:lang w:eastAsia="pl-PL" w:bidi="ar-SA"/>
              </w:rPr>
            </w:pPr>
          </w:p>
        </w:tc>
        <w:tc>
          <w:tcPr>
            <w:tcW w:w="0" w:type="auto"/>
            <w:vMerge/>
            <w:tcBorders>
              <w:top w:val="nil"/>
              <w:left w:val="nil"/>
              <w:bottom w:val="single" w:sz="4" w:space="0" w:color="auto"/>
              <w:right w:val="single" w:sz="4" w:space="0" w:color="auto"/>
            </w:tcBorders>
            <w:vAlign w:val="center"/>
            <w:hideMark/>
          </w:tcPr>
          <w:p w14:paraId="1C589FE9" w14:textId="77777777" w:rsidR="00353243" w:rsidRDefault="00353243">
            <w:pPr>
              <w:suppressAutoHyphens w:val="0"/>
              <w:rPr>
                <w:rFonts w:ascii="Calibri" w:eastAsia="Times New Roman" w:hAnsi="Calibri" w:cs="Calibri"/>
                <w:b/>
                <w:bCs/>
                <w:kern w:val="0"/>
                <w:sz w:val="22"/>
                <w:szCs w:val="22"/>
                <w:lang w:eastAsia="pl-PL" w:bidi="ar-SA"/>
              </w:rPr>
            </w:pPr>
          </w:p>
        </w:tc>
        <w:tc>
          <w:tcPr>
            <w:tcW w:w="0" w:type="auto"/>
            <w:vMerge/>
            <w:tcBorders>
              <w:top w:val="nil"/>
              <w:left w:val="nil"/>
              <w:bottom w:val="single" w:sz="4" w:space="0" w:color="auto"/>
              <w:right w:val="single" w:sz="4" w:space="0" w:color="auto"/>
            </w:tcBorders>
            <w:vAlign w:val="center"/>
            <w:hideMark/>
          </w:tcPr>
          <w:p w14:paraId="0EFB7CB2" w14:textId="77777777" w:rsidR="00353243" w:rsidRDefault="00353243">
            <w:pPr>
              <w:suppressAutoHyphens w:val="0"/>
              <w:rPr>
                <w:rFonts w:ascii="Calibri" w:eastAsia="Times New Roman" w:hAnsi="Calibri" w:cs="Calibri"/>
                <w:kern w:val="0"/>
                <w:sz w:val="22"/>
                <w:szCs w:val="22"/>
                <w:lang w:eastAsia="pl-PL" w:bidi="ar-SA"/>
              </w:rPr>
            </w:pPr>
          </w:p>
        </w:tc>
        <w:tc>
          <w:tcPr>
            <w:tcW w:w="0" w:type="auto"/>
            <w:vMerge/>
            <w:tcBorders>
              <w:top w:val="nil"/>
              <w:left w:val="nil"/>
              <w:bottom w:val="single" w:sz="4" w:space="0" w:color="auto"/>
              <w:right w:val="single" w:sz="8" w:space="0" w:color="auto"/>
            </w:tcBorders>
            <w:vAlign w:val="center"/>
            <w:hideMark/>
          </w:tcPr>
          <w:p w14:paraId="60EB8457" w14:textId="77777777" w:rsidR="00353243" w:rsidRDefault="00353243">
            <w:pPr>
              <w:suppressAutoHyphens w:val="0"/>
              <w:rPr>
                <w:rFonts w:ascii="Calibri" w:eastAsia="Times New Roman" w:hAnsi="Calibri" w:cs="Calibri"/>
                <w:kern w:val="0"/>
                <w:sz w:val="22"/>
                <w:szCs w:val="22"/>
                <w:lang w:eastAsia="pl-PL" w:bidi="ar-SA"/>
              </w:rPr>
            </w:pPr>
          </w:p>
        </w:tc>
        <w:tc>
          <w:tcPr>
            <w:tcW w:w="160" w:type="dxa"/>
            <w:vAlign w:val="center"/>
            <w:hideMark/>
          </w:tcPr>
          <w:p w14:paraId="4640E8FA" w14:textId="77777777" w:rsidR="00353243" w:rsidRDefault="00353243">
            <w:pPr>
              <w:suppressAutoHyphens w:val="0"/>
              <w:rPr>
                <w:color w:val="auto"/>
                <w:kern w:val="0"/>
                <w:sz w:val="20"/>
                <w:szCs w:val="20"/>
                <w:lang w:eastAsia="pl-PL" w:bidi="ar-SA"/>
              </w:rPr>
            </w:pPr>
          </w:p>
        </w:tc>
      </w:tr>
      <w:tr w:rsidR="00353243" w14:paraId="371217C4" w14:textId="77777777">
        <w:trPr>
          <w:trHeight w:val="315"/>
        </w:trPr>
        <w:tc>
          <w:tcPr>
            <w:tcW w:w="0" w:type="auto"/>
            <w:vMerge/>
            <w:tcBorders>
              <w:top w:val="nil"/>
              <w:left w:val="single" w:sz="8" w:space="0" w:color="auto"/>
              <w:bottom w:val="single" w:sz="8" w:space="0" w:color="000000"/>
              <w:right w:val="single" w:sz="8" w:space="0" w:color="auto"/>
            </w:tcBorders>
            <w:vAlign w:val="center"/>
            <w:hideMark/>
          </w:tcPr>
          <w:p w14:paraId="2237A9CD" w14:textId="77777777" w:rsidR="00353243" w:rsidRDefault="00353243">
            <w:pPr>
              <w:suppressAutoHyphens w:val="0"/>
              <w:rPr>
                <w:rFonts w:ascii="Calibri" w:eastAsia="Times New Roman" w:hAnsi="Calibri" w:cs="Calibri"/>
                <w:b/>
                <w:bCs/>
                <w:kern w:val="0"/>
                <w:sz w:val="32"/>
                <w:szCs w:val="32"/>
                <w:lang w:eastAsia="pl-PL" w:bidi="ar-SA"/>
              </w:rPr>
            </w:pPr>
          </w:p>
        </w:tc>
        <w:tc>
          <w:tcPr>
            <w:tcW w:w="2040" w:type="dxa"/>
            <w:tcBorders>
              <w:top w:val="nil"/>
              <w:left w:val="nil"/>
              <w:bottom w:val="single" w:sz="8" w:space="0" w:color="auto"/>
              <w:right w:val="single" w:sz="4" w:space="0" w:color="auto"/>
            </w:tcBorders>
            <w:noWrap/>
            <w:vAlign w:val="center"/>
            <w:hideMark/>
          </w:tcPr>
          <w:p w14:paraId="4C79D046"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UROLOGIA</w:t>
            </w:r>
          </w:p>
        </w:tc>
        <w:tc>
          <w:tcPr>
            <w:tcW w:w="2800" w:type="dxa"/>
            <w:tcBorders>
              <w:top w:val="nil"/>
              <w:left w:val="nil"/>
              <w:bottom w:val="single" w:sz="8" w:space="0" w:color="auto"/>
              <w:right w:val="single" w:sz="4" w:space="0" w:color="auto"/>
            </w:tcBorders>
            <w:noWrap/>
            <w:vAlign w:val="center"/>
            <w:hideMark/>
          </w:tcPr>
          <w:p w14:paraId="7837ED1C"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2255</w:t>
            </w:r>
          </w:p>
        </w:tc>
        <w:tc>
          <w:tcPr>
            <w:tcW w:w="2800" w:type="dxa"/>
            <w:tcBorders>
              <w:top w:val="nil"/>
              <w:left w:val="nil"/>
              <w:bottom w:val="single" w:sz="8" w:space="0" w:color="auto"/>
              <w:right w:val="single" w:sz="8" w:space="0" w:color="auto"/>
            </w:tcBorders>
            <w:noWrap/>
            <w:vAlign w:val="center"/>
            <w:hideMark/>
          </w:tcPr>
          <w:p w14:paraId="149049A7"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82</w:t>
            </w:r>
          </w:p>
        </w:tc>
        <w:tc>
          <w:tcPr>
            <w:tcW w:w="160" w:type="dxa"/>
            <w:vAlign w:val="center"/>
            <w:hideMark/>
          </w:tcPr>
          <w:p w14:paraId="7E665685" w14:textId="77777777" w:rsidR="00353243" w:rsidRDefault="00353243">
            <w:pPr>
              <w:rPr>
                <w:rFonts w:ascii="Calibri" w:eastAsia="Times New Roman" w:hAnsi="Calibri" w:cs="Calibri"/>
                <w:kern w:val="0"/>
                <w:sz w:val="22"/>
                <w:szCs w:val="22"/>
                <w:lang w:eastAsia="pl-PL" w:bidi="ar-SA"/>
              </w:rPr>
            </w:pPr>
          </w:p>
        </w:tc>
      </w:tr>
      <w:tr w:rsidR="00353243" w14:paraId="3F7D7627" w14:textId="77777777" w:rsidTr="00154E7F">
        <w:trPr>
          <w:trHeight w:val="300"/>
        </w:trPr>
        <w:tc>
          <w:tcPr>
            <w:tcW w:w="1420" w:type="dxa"/>
            <w:noWrap/>
            <w:vAlign w:val="bottom"/>
            <w:hideMark/>
          </w:tcPr>
          <w:p w14:paraId="4C267FF6" w14:textId="77777777" w:rsidR="00353243" w:rsidRDefault="00353243">
            <w:pPr>
              <w:suppressAutoHyphens w:val="0"/>
              <w:rPr>
                <w:color w:val="auto"/>
                <w:kern w:val="0"/>
                <w:sz w:val="20"/>
                <w:szCs w:val="20"/>
                <w:lang w:eastAsia="pl-PL" w:bidi="ar-SA"/>
              </w:rPr>
            </w:pPr>
          </w:p>
        </w:tc>
        <w:tc>
          <w:tcPr>
            <w:tcW w:w="2040" w:type="dxa"/>
            <w:noWrap/>
            <w:vAlign w:val="bottom"/>
            <w:hideMark/>
          </w:tcPr>
          <w:p w14:paraId="7C07DE53" w14:textId="77777777" w:rsidR="00353243" w:rsidRDefault="00353243">
            <w:pPr>
              <w:suppressAutoHyphens w:val="0"/>
              <w:rPr>
                <w:color w:val="auto"/>
                <w:kern w:val="0"/>
                <w:sz w:val="20"/>
                <w:szCs w:val="20"/>
                <w:lang w:eastAsia="pl-PL" w:bidi="ar-SA"/>
              </w:rPr>
            </w:pPr>
          </w:p>
        </w:tc>
        <w:tc>
          <w:tcPr>
            <w:tcW w:w="2800" w:type="dxa"/>
            <w:noWrap/>
            <w:vAlign w:val="bottom"/>
          </w:tcPr>
          <w:p w14:paraId="54E90DD0" w14:textId="26EF4850" w:rsidR="00353243" w:rsidRDefault="00353243">
            <w:pPr>
              <w:widowControl/>
              <w:suppressAutoHyphens w:val="0"/>
              <w:jc w:val="center"/>
              <w:rPr>
                <w:rFonts w:eastAsia="Times New Roman" w:cs="Times New Roman"/>
                <w:color w:val="auto"/>
                <w:kern w:val="0"/>
                <w:sz w:val="18"/>
                <w:szCs w:val="18"/>
                <w:lang w:eastAsia="pl-PL" w:bidi="ar-SA"/>
              </w:rPr>
            </w:pPr>
          </w:p>
        </w:tc>
        <w:tc>
          <w:tcPr>
            <w:tcW w:w="2800" w:type="dxa"/>
            <w:noWrap/>
            <w:vAlign w:val="bottom"/>
            <w:hideMark/>
          </w:tcPr>
          <w:p w14:paraId="0BC3C18D" w14:textId="77777777" w:rsidR="00353243" w:rsidRDefault="00353243">
            <w:pPr>
              <w:rPr>
                <w:rFonts w:eastAsia="Times New Roman" w:cs="Times New Roman"/>
                <w:color w:val="auto"/>
                <w:kern w:val="0"/>
                <w:sz w:val="18"/>
                <w:szCs w:val="18"/>
                <w:lang w:eastAsia="pl-PL" w:bidi="ar-SA"/>
              </w:rPr>
            </w:pPr>
          </w:p>
        </w:tc>
        <w:tc>
          <w:tcPr>
            <w:tcW w:w="160" w:type="dxa"/>
            <w:vAlign w:val="center"/>
            <w:hideMark/>
          </w:tcPr>
          <w:p w14:paraId="6FE501A8" w14:textId="77777777" w:rsidR="00353243" w:rsidRDefault="00353243">
            <w:pPr>
              <w:suppressAutoHyphens w:val="0"/>
              <w:rPr>
                <w:color w:val="auto"/>
                <w:kern w:val="0"/>
                <w:sz w:val="20"/>
                <w:szCs w:val="20"/>
                <w:lang w:eastAsia="pl-PL" w:bidi="ar-SA"/>
              </w:rPr>
            </w:pPr>
          </w:p>
        </w:tc>
      </w:tr>
      <w:tr w:rsidR="00353243" w14:paraId="6F3F619D" w14:textId="77777777" w:rsidTr="00154E7F">
        <w:trPr>
          <w:trHeight w:val="315"/>
        </w:trPr>
        <w:tc>
          <w:tcPr>
            <w:tcW w:w="1420" w:type="dxa"/>
            <w:noWrap/>
            <w:vAlign w:val="bottom"/>
            <w:hideMark/>
          </w:tcPr>
          <w:p w14:paraId="4B2A9434" w14:textId="77777777" w:rsidR="00353243" w:rsidRDefault="00353243">
            <w:pPr>
              <w:suppressAutoHyphens w:val="0"/>
              <w:rPr>
                <w:color w:val="auto"/>
                <w:kern w:val="0"/>
                <w:sz w:val="20"/>
                <w:szCs w:val="20"/>
                <w:lang w:eastAsia="pl-PL" w:bidi="ar-SA"/>
              </w:rPr>
            </w:pPr>
          </w:p>
        </w:tc>
        <w:tc>
          <w:tcPr>
            <w:tcW w:w="2040" w:type="dxa"/>
            <w:noWrap/>
            <w:vAlign w:val="bottom"/>
            <w:hideMark/>
          </w:tcPr>
          <w:p w14:paraId="3B846728" w14:textId="77777777" w:rsidR="00353243" w:rsidRDefault="00353243">
            <w:pPr>
              <w:suppressAutoHyphens w:val="0"/>
              <w:rPr>
                <w:color w:val="auto"/>
                <w:kern w:val="0"/>
                <w:sz w:val="20"/>
                <w:szCs w:val="20"/>
                <w:lang w:eastAsia="pl-PL" w:bidi="ar-SA"/>
              </w:rPr>
            </w:pPr>
          </w:p>
        </w:tc>
        <w:tc>
          <w:tcPr>
            <w:tcW w:w="2800" w:type="dxa"/>
            <w:noWrap/>
            <w:vAlign w:val="bottom"/>
          </w:tcPr>
          <w:p w14:paraId="61764252" w14:textId="77777777" w:rsidR="00353243" w:rsidRDefault="00353243">
            <w:pPr>
              <w:suppressAutoHyphens w:val="0"/>
              <w:rPr>
                <w:color w:val="auto"/>
                <w:kern w:val="0"/>
                <w:sz w:val="20"/>
                <w:szCs w:val="20"/>
                <w:lang w:eastAsia="pl-PL" w:bidi="ar-SA"/>
              </w:rPr>
            </w:pPr>
          </w:p>
        </w:tc>
        <w:tc>
          <w:tcPr>
            <w:tcW w:w="2800" w:type="dxa"/>
            <w:noWrap/>
            <w:vAlign w:val="bottom"/>
            <w:hideMark/>
          </w:tcPr>
          <w:p w14:paraId="10DB26FF" w14:textId="77777777" w:rsidR="00353243" w:rsidRDefault="00353243">
            <w:pPr>
              <w:suppressAutoHyphens w:val="0"/>
              <w:rPr>
                <w:color w:val="auto"/>
                <w:kern w:val="0"/>
                <w:sz w:val="20"/>
                <w:szCs w:val="20"/>
                <w:lang w:eastAsia="pl-PL" w:bidi="ar-SA"/>
              </w:rPr>
            </w:pPr>
          </w:p>
        </w:tc>
        <w:tc>
          <w:tcPr>
            <w:tcW w:w="160" w:type="dxa"/>
            <w:vAlign w:val="center"/>
            <w:hideMark/>
          </w:tcPr>
          <w:p w14:paraId="4273CAFF" w14:textId="77777777" w:rsidR="00353243" w:rsidRDefault="00353243">
            <w:pPr>
              <w:suppressAutoHyphens w:val="0"/>
              <w:rPr>
                <w:color w:val="auto"/>
                <w:kern w:val="0"/>
                <w:sz w:val="20"/>
                <w:szCs w:val="20"/>
                <w:lang w:eastAsia="pl-PL" w:bidi="ar-SA"/>
              </w:rPr>
            </w:pPr>
          </w:p>
        </w:tc>
      </w:tr>
      <w:tr w:rsidR="00353243" w14:paraId="241A9AFB" w14:textId="77777777">
        <w:trPr>
          <w:trHeight w:val="315"/>
        </w:trPr>
        <w:tc>
          <w:tcPr>
            <w:tcW w:w="1420" w:type="dxa"/>
            <w:tcBorders>
              <w:top w:val="single" w:sz="8" w:space="0" w:color="auto"/>
              <w:left w:val="single" w:sz="8" w:space="0" w:color="auto"/>
              <w:bottom w:val="single" w:sz="8" w:space="0" w:color="auto"/>
              <w:right w:val="single" w:sz="8" w:space="0" w:color="auto"/>
            </w:tcBorders>
            <w:noWrap/>
            <w:vAlign w:val="center"/>
            <w:hideMark/>
          </w:tcPr>
          <w:p w14:paraId="6D90C117"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Nr przychodni</w:t>
            </w:r>
          </w:p>
        </w:tc>
        <w:tc>
          <w:tcPr>
            <w:tcW w:w="2040" w:type="dxa"/>
            <w:tcBorders>
              <w:top w:val="single" w:sz="8" w:space="0" w:color="auto"/>
              <w:left w:val="nil"/>
              <w:bottom w:val="single" w:sz="8" w:space="0" w:color="auto"/>
              <w:right w:val="single" w:sz="8" w:space="0" w:color="auto"/>
            </w:tcBorders>
            <w:noWrap/>
            <w:vAlign w:val="center"/>
            <w:hideMark/>
          </w:tcPr>
          <w:p w14:paraId="654C6F56"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OGÓŁEM</w:t>
            </w:r>
          </w:p>
        </w:tc>
        <w:tc>
          <w:tcPr>
            <w:tcW w:w="2800" w:type="dxa"/>
            <w:tcBorders>
              <w:top w:val="single" w:sz="8" w:space="0" w:color="auto"/>
              <w:left w:val="nil"/>
              <w:bottom w:val="single" w:sz="8" w:space="0" w:color="auto"/>
              <w:right w:val="single" w:sz="8" w:space="0" w:color="auto"/>
            </w:tcBorders>
            <w:noWrap/>
            <w:vAlign w:val="center"/>
            <w:hideMark/>
          </w:tcPr>
          <w:p w14:paraId="40582A4E"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W TYM TELEPORADY</w:t>
            </w:r>
          </w:p>
        </w:tc>
        <w:tc>
          <w:tcPr>
            <w:tcW w:w="2800" w:type="dxa"/>
            <w:noWrap/>
            <w:vAlign w:val="center"/>
            <w:hideMark/>
          </w:tcPr>
          <w:p w14:paraId="115BDA0A" w14:textId="77777777" w:rsidR="00353243" w:rsidRDefault="00353243">
            <w:pPr>
              <w:rPr>
                <w:rFonts w:ascii="Calibri" w:eastAsia="Times New Roman" w:hAnsi="Calibri" w:cs="Calibri"/>
                <w:b/>
                <w:bCs/>
                <w:kern w:val="0"/>
                <w:sz w:val="22"/>
                <w:szCs w:val="22"/>
                <w:lang w:eastAsia="pl-PL" w:bidi="ar-SA"/>
              </w:rPr>
            </w:pPr>
          </w:p>
        </w:tc>
        <w:tc>
          <w:tcPr>
            <w:tcW w:w="160" w:type="dxa"/>
            <w:vAlign w:val="center"/>
            <w:hideMark/>
          </w:tcPr>
          <w:p w14:paraId="0BC87419" w14:textId="77777777" w:rsidR="00353243" w:rsidRDefault="00353243">
            <w:pPr>
              <w:suppressAutoHyphens w:val="0"/>
              <w:rPr>
                <w:color w:val="auto"/>
                <w:kern w:val="0"/>
                <w:sz w:val="20"/>
                <w:szCs w:val="20"/>
                <w:lang w:eastAsia="pl-PL" w:bidi="ar-SA"/>
              </w:rPr>
            </w:pPr>
          </w:p>
        </w:tc>
      </w:tr>
      <w:tr w:rsidR="00353243" w14:paraId="56D33553" w14:textId="77777777">
        <w:trPr>
          <w:trHeight w:val="300"/>
        </w:trPr>
        <w:tc>
          <w:tcPr>
            <w:tcW w:w="1420" w:type="dxa"/>
            <w:tcBorders>
              <w:top w:val="nil"/>
              <w:left w:val="single" w:sz="8" w:space="0" w:color="auto"/>
              <w:bottom w:val="single" w:sz="4" w:space="0" w:color="auto"/>
              <w:right w:val="single" w:sz="8" w:space="0" w:color="auto"/>
            </w:tcBorders>
            <w:noWrap/>
            <w:vAlign w:val="center"/>
            <w:hideMark/>
          </w:tcPr>
          <w:p w14:paraId="2BB855FE"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P1</w:t>
            </w:r>
          </w:p>
        </w:tc>
        <w:tc>
          <w:tcPr>
            <w:tcW w:w="2040" w:type="dxa"/>
            <w:tcBorders>
              <w:top w:val="nil"/>
              <w:left w:val="single" w:sz="4" w:space="0" w:color="auto"/>
              <w:bottom w:val="single" w:sz="4" w:space="0" w:color="auto"/>
              <w:right w:val="single" w:sz="8" w:space="0" w:color="auto"/>
            </w:tcBorders>
            <w:noWrap/>
            <w:vAlign w:val="bottom"/>
            <w:hideMark/>
          </w:tcPr>
          <w:p w14:paraId="59C7BDB3"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hAnsi="Calibri" w:cs="Calibri"/>
                <w:sz w:val="22"/>
                <w:szCs w:val="22"/>
              </w:rPr>
              <w:t>4922</w:t>
            </w:r>
          </w:p>
        </w:tc>
        <w:tc>
          <w:tcPr>
            <w:tcW w:w="2800" w:type="dxa"/>
            <w:tcBorders>
              <w:top w:val="nil"/>
              <w:left w:val="single" w:sz="4" w:space="0" w:color="auto"/>
              <w:bottom w:val="single" w:sz="4" w:space="0" w:color="auto"/>
              <w:right w:val="single" w:sz="8" w:space="0" w:color="auto"/>
            </w:tcBorders>
            <w:noWrap/>
            <w:vAlign w:val="bottom"/>
            <w:hideMark/>
          </w:tcPr>
          <w:p w14:paraId="5EC5605B"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hAnsi="Calibri" w:cs="Calibri"/>
                <w:sz w:val="22"/>
                <w:szCs w:val="22"/>
              </w:rPr>
              <w:t>178</w:t>
            </w:r>
          </w:p>
        </w:tc>
        <w:tc>
          <w:tcPr>
            <w:tcW w:w="2800" w:type="dxa"/>
            <w:noWrap/>
            <w:vAlign w:val="bottom"/>
            <w:hideMark/>
          </w:tcPr>
          <w:p w14:paraId="550E6537" w14:textId="77777777" w:rsidR="00353243" w:rsidRDefault="00353243">
            <w:pPr>
              <w:rPr>
                <w:rFonts w:ascii="Calibri" w:eastAsia="Times New Roman" w:hAnsi="Calibri" w:cs="Calibri"/>
                <w:kern w:val="0"/>
                <w:sz w:val="22"/>
                <w:szCs w:val="22"/>
                <w:lang w:eastAsia="pl-PL" w:bidi="ar-SA"/>
              </w:rPr>
            </w:pPr>
          </w:p>
        </w:tc>
        <w:tc>
          <w:tcPr>
            <w:tcW w:w="160" w:type="dxa"/>
            <w:vAlign w:val="center"/>
            <w:hideMark/>
          </w:tcPr>
          <w:p w14:paraId="244DC6E0" w14:textId="77777777" w:rsidR="00353243" w:rsidRDefault="00353243">
            <w:pPr>
              <w:suppressAutoHyphens w:val="0"/>
              <w:rPr>
                <w:color w:val="auto"/>
                <w:kern w:val="0"/>
                <w:sz w:val="20"/>
                <w:szCs w:val="20"/>
                <w:lang w:eastAsia="pl-PL" w:bidi="ar-SA"/>
              </w:rPr>
            </w:pPr>
          </w:p>
        </w:tc>
      </w:tr>
      <w:tr w:rsidR="00353243" w14:paraId="474B850A" w14:textId="77777777">
        <w:trPr>
          <w:trHeight w:val="300"/>
        </w:trPr>
        <w:tc>
          <w:tcPr>
            <w:tcW w:w="1420" w:type="dxa"/>
            <w:tcBorders>
              <w:top w:val="nil"/>
              <w:left w:val="single" w:sz="8" w:space="0" w:color="auto"/>
              <w:bottom w:val="single" w:sz="4" w:space="0" w:color="auto"/>
              <w:right w:val="single" w:sz="8" w:space="0" w:color="auto"/>
            </w:tcBorders>
            <w:noWrap/>
            <w:vAlign w:val="center"/>
            <w:hideMark/>
          </w:tcPr>
          <w:p w14:paraId="7FB18299"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P9</w:t>
            </w:r>
          </w:p>
        </w:tc>
        <w:tc>
          <w:tcPr>
            <w:tcW w:w="2040" w:type="dxa"/>
            <w:tcBorders>
              <w:top w:val="nil"/>
              <w:left w:val="single" w:sz="4" w:space="0" w:color="auto"/>
              <w:bottom w:val="single" w:sz="4" w:space="0" w:color="auto"/>
              <w:right w:val="single" w:sz="8" w:space="0" w:color="auto"/>
            </w:tcBorders>
            <w:noWrap/>
            <w:vAlign w:val="bottom"/>
            <w:hideMark/>
          </w:tcPr>
          <w:p w14:paraId="57EC126E"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hAnsi="Calibri" w:cs="Calibri"/>
                <w:sz w:val="22"/>
                <w:szCs w:val="22"/>
              </w:rPr>
              <w:t>83371</w:t>
            </w:r>
          </w:p>
        </w:tc>
        <w:tc>
          <w:tcPr>
            <w:tcW w:w="2800" w:type="dxa"/>
            <w:tcBorders>
              <w:top w:val="nil"/>
              <w:left w:val="single" w:sz="4" w:space="0" w:color="auto"/>
              <w:bottom w:val="single" w:sz="4" w:space="0" w:color="auto"/>
              <w:right w:val="single" w:sz="8" w:space="0" w:color="auto"/>
            </w:tcBorders>
            <w:noWrap/>
            <w:vAlign w:val="bottom"/>
            <w:hideMark/>
          </w:tcPr>
          <w:p w14:paraId="168BE0B4"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hAnsi="Calibri" w:cs="Calibri"/>
                <w:sz w:val="22"/>
                <w:szCs w:val="22"/>
              </w:rPr>
              <w:t>3100</w:t>
            </w:r>
          </w:p>
        </w:tc>
        <w:tc>
          <w:tcPr>
            <w:tcW w:w="2800" w:type="dxa"/>
            <w:noWrap/>
            <w:vAlign w:val="bottom"/>
            <w:hideMark/>
          </w:tcPr>
          <w:p w14:paraId="0F380B99" w14:textId="77777777" w:rsidR="00353243" w:rsidRDefault="00353243">
            <w:pPr>
              <w:rPr>
                <w:rFonts w:ascii="Calibri" w:eastAsia="Times New Roman" w:hAnsi="Calibri" w:cs="Calibri"/>
                <w:kern w:val="0"/>
                <w:sz w:val="22"/>
                <w:szCs w:val="22"/>
                <w:lang w:eastAsia="pl-PL" w:bidi="ar-SA"/>
              </w:rPr>
            </w:pPr>
          </w:p>
        </w:tc>
        <w:tc>
          <w:tcPr>
            <w:tcW w:w="160" w:type="dxa"/>
            <w:vAlign w:val="center"/>
            <w:hideMark/>
          </w:tcPr>
          <w:p w14:paraId="74219484" w14:textId="77777777" w:rsidR="00353243" w:rsidRDefault="00353243">
            <w:pPr>
              <w:suppressAutoHyphens w:val="0"/>
              <w:rPr>
                <w:color w:val="auto"/>
                <w:kern w:val="0"/>
                <w:sz w:val="20"/>
                <w:szCs w:val="20"/>
                <w:lang w:eastAsia="pl-PL" w:bidi="ar-SA"/>
              </w:rPr>
            </w:pPr>
          </w:p>
        </w:tc>
      </w:tr>
      <w:tr w:rsidR="00353243" w14:paraId="0828E97B" w14:textId="77777777">
        <w:trPr>
          <w:trHeight w:val="315"/>
        </w:trPr>
        <w:tc>
          <w:tcPr>
            <w:tcW w:w="1420" w:type="dxa"/>
            <w:tcBorders>
              <w:top w:val="nil"/>
              <w:left w:val="single" w:sz="8" w:space="0" w:color="auto"/>
              <w:bottom w:val="nil"/>
              <w:right w:val="single" w:sz="8" w:space="0" w:color="auto"/>
            </w:tcBorders>
            <w:noWrap/>
            <w:vAlign w:val="center"/>
            <w:hideMark/>
          </w:tcPr>
          <w:p w14:paraId="373B987D"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P10</w:t>
            </w:r>
          </w:p>
        </w:tc>
        <w:tc>
          <w:tcPr>
            <w:tcW w:w="2040" w:type="dxa"/>
            <w:tcBorders>
              <w:top w:val="nil"/>
              <w:left w:val="single" w:sz="4" w:space="0" w:color="auto"/>
              <w:bottom w:val="single" w:sz="8" w:space="0" w:color="auto"/>
              <w:right w:val="single" w:sz="8" w:space="0" w:color="auto"/>
            </w:tcBorders>
            <w:noWrap/>
            <w:vAlign w:val="bottom"/>
            <w:hideMark/>
          </w:tcPr>
          <w:p w14:paraId="0455D4AC"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hAnsi="Calibri" w:cs="Calibri"/>
                <w:sz w:val="22"/>
                <w:szCs w:val="22"/>
              </w:rPr>
              <w:t>5246</w:t>
            </w:r>
          </w:p>
        </w:tc>
        <w:tc>
          <w:tcPr>
            <w:tcW w:w="2800" w:type="dxa"/>
            <w:tcBorders>
              <w:top w:val="nil"/>
              <w:left w:val="single" w:sz="4" w:space="0" w:color="auto"/>
              <w:bottom w:val="single" w:sz="8" w:space="0" w:color="auto"/>
              <w:right w:val="single" w:sz="8" w:space="0" w:color="auto"/>
            </w:tcBorders>
            <w:noWrap/>
            <w:vAlign w:val="bottom"/>
            <w:hideMark/>
          </w:tcPr>
          <w:p w14:paraId="6BCC751E" w14:textId="77777777" w:rsidR="00353243" w:rsidRDefault="00353243">
            <w:pPr>
              <w:widowControl/>
              <w:suppressAutoHyphens w:val="0"/>
              <w:jc w:val="center"/>
              <w:rPr>
                <w:rFonts w:ascii="Calibri" w:eastAsia="Times New Roman" w:hAnsi="Calibri" w:cs="Calibri"/>
                <w:kern w:val="0"/>
                <w:sz w:val="22"/>
                <w:szCs w:val="22"/>
                <w:lang w:eastAsia="pl-PL" w:bidi="ar-SA"/>
              </w:rPr>
            </w:pPr>
            <w:r>
              <w:rPr>
                <w:rFonts w:ascii="Calibri" w:hAnsi="Calibri" w:cs="Calibri"/>
                <w:sz w:val="22"/>
                <w:szCs w:val="22"/>
              </w:rPr>
              <w:t>131</w:t>
            </w:r>
          </w:p>
        </w:tc>
        <w:tc>
          <w:tcPr>
            <w:tcW w:w="2800" w:type="dxa"/>
            <w:noWrap/>
            <w:vAlign w:val="bottom"/>
            <w:hideMark/>
          </w:tcPr>
          <w:p w14:paraId="1DB5E74D" w14:textId="77777777" w:rsidR="00353243" w:rsidRDefault="00353243">
            <w:pPr>
              <w:rPr>
                <w:rFonts w:ascii="Calibri" w:eastAsia="Times New Roman" w:hAnsi="Calibri" w:cs="Calibri"/>
                <w:kern w:val="0"/>
                <w:sz w:val="22"/>
                <w:szCs w:val="22"/>
                <w:lang w:eastAsia="pl-PL" w:bidi="ar-SA"/>
              </w:rPr>
            </w:pPr>
          </w:p>
        </w:tc>
        <w:tc>
          <w:tcPr>
            <w:tcW w:w="160" w:type="dxa"/>
            <w:vAlign w:val="center"/>
            <w:hideMark/>
          </w:tcPr>
          <w:p w14:paraId="667741EC" w14:textId="77777777" w:rsidR="00353243" w:rsidRDefault="00353243">
            <w:pPr>
              <w:suppressAutoHyphens w:val="0"/>
              <w:rPr>
                <w:color w:val="auto"/>
                <w:kern w:val="0"/>
                <w:sz w:val="20"/>
                <w:szCs w:val="20"/>
                <w:lang w:eastAsia="pl-PL" w:bidi="ar-SA"/>
              </w:rPr>
            </w:pPr>
          </w:p>
        </w:tc>
      </w:tr>
      <w:tr w:rsidR="00353243" w14:paraId="5C83A5B1" w14:textId="77777777">
        <w:trPr>
          <w:trHeight w:val="315"/>
        </w:trPr>
        <w:tc>
          <w:tcPr>
            <w:tcW w:w="1420" w:type="dxa"/>
            <w:tcBorders>
              <w:top w:val="single" w:sz="8" w:space="0" w:color="auto"/>
              <w:left w:val="single" w:sz="8" w:space="0" w:color="auto"/>
              <w:bottom w:val="single" w:sz="8" w:space="0" w:color="auto"/>
              <w:right w:val="single" w:sz="4" w:space="0" w:color="auto"/>
            </w:tcBorders>
            <w:noWrap/>
            <w:vAlign w:val="center"/>
            <w:hideMark/>
          </w:tcPr>
          <w:p w14:paraId="2491D8FF"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 xml:space="preserve">SUMA ZLA </w:t>
            </w:r>
          </w:p>
        </w:tc>
        <w:tc>
          <w:tcPr>
            <w:tcW w:w="2040" w:type="dxa"/>
            <w:tcBorders>
              <w:top w:val="nil"/>
              <w:left w:val="single" w:sz="8" w:space="0" w:color="auto"/>
              <w:bottom w:val="single" w:sz="8" w:space="0" w:color="auto"/>
              <w:right w:val="single" w:sz="8" w:space="0" w:color="auto"/>
            </w:tcBorders>
            <w:noWrap/>
            <w:vAlign w:val="bottom"/>
            <w:hideMark/>
          </w:tcPr>
          <w:p w14:paraId="0A3E62CA"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hAnsi="Calibri" w:cs="Calibri"/>
                <w:sz w:val="22"/>
                <w:szCs w:val="22"/>
              </w:rPr>
              <w:t>93539</w:t>
            </w:r>
          </w:p>
        </w:tc>
        <w:tc>
          <w:tcPr>
            <w:tcW w:w="2800" w:type="dxa"/>
            <w:tcBorders>
              <w:top w:val="nil"/>
              <w:left w:val="nil"/>
              <w:bottom w:val="single" w:sz="8" w:space="0" w:color="auto"/>
              <w:right w:val="single" w:sz="8" w:space="0" w:color="auto"/>
            </w:tcBorders>
            <w:noWrap/>
            <w:vAlign w:val="bottom"/>
            <w:hideMark/>
          </w:tcPr>
          <w:p w14:paraId="1660A30C" w14:textId="77777777" w:rsidR="00353243" w:rsidRDefault="00353243">
            <w:pPr>
              <w:widowControl/>
              <w:suppressAutoHyphens w:val="0"/>
              <w:jc w:val="center"/>
              <w:rPr>
                <w:rFonts w:ascii="Calibri" w:eastAsia="Times New Roman" w:hAnsi="Calibri" w:cs="Calibri"/>
                <w:b/>
                <w:bCs/>
                <w:kern w:val="0"/>
                <w:sz w:val="22"/>
                <w:szCs w:val="22"/>
                <w:lang w:eastAsia="pl-PL" w:bidi="ar-SA"/>
              </w:rPr>
            </w:pPr>
            <w:r>
              <w:rPr>
                <w:rFonts w:ascii="Calibri" w:hAnsi="Calibri" w:cs="Calibri"/>
                <w:sz w:val="22"/>
                <w:szCs w:val="22"/>
              </w:rPr>
              <w:t>3409</w:t>
            </w:r>
          </w:p>
        </w:tc>
        <w:tc>
          <w:tcPr>
            <w:tcW w:w="2800" w:type="dxa"/>
            <w:noWrap/>
            <w:vAlign w:val="bottom"/>
            <w:hideMark/>
          </w:tcPr>
          <w:p w14:paraId="145BB7AA" w14:textId="77777777" w:rsidR="00353243" w:rsidRDefault="00353243">
            <w:pPr>
              <w:rPr>
                <w:rFonts w:ascii="Calibri" w:eastAsia="Times New Roman" w:hAnsi="Calibri" w:cs="Calibri"/>
                <w:b/>
                <w:bCs/>
                <w:kern w:val="0"/>
                <w:sz w:val="22"/>
                <w:szCs w:val="22"/>
                <w:lang w:eastAsia="pl-PL" w:bidi="ar-SA"/>
              </w:rPr>
            </w:pPr>
          </w:p>
        </w:tc>
        <w:tc>
          <w:tcPr>
            <w:tcW w:w="160" w:type="dxa"/>
            <w:vAlign w:val="center"/>
            <w:hideMark/>
          </w:tcPr>
          <w:p w14:paraId="1DA19FFE" w14:textId="77777777" w:rsidR="00353243" w:rsidRDefault="00353243">
            <w:pPr>
              <w:suppressAutoHyphens w:val="0"/>
              <w:rPr>
                <w:color w:val="auto"/>
                <w:kern w:val="0"/>
                <w:sz w:val="20"/>
                <w:szCs w:val="20"/>
                <w:lang w:eastAsia="pl-PL" w:bidi="ar-SA"/>
              </w:rPr>
            </w:pPr>
          </w:p>
        </w:tc>
      </w:tr>
    </w:tbl>
    <w:p w14:paraId="41787003" w14:textId="77777777" w:rsidR="00353243" w:rsidRDefault="00353243" w:rsidP="00353243">
      <w:pPr>
        <w:pStyle w:val="Standard"/>
        <w:spacing w:line="360" w:lineRule="auto"/>
        <w:ind w:left="2124" w:firstLine="708"/>
        <w:rPr>
          <w:sz w:val="18"/>
          <w:szCs w:val="18"/>
        </w:rPr>
      </w:pPr>
    </w:p>
    <w:p w14:paraId="446DEE78" w14:textId="77777777" w:rsidR="00353243" w:rsidRDefault="00353243" w:rsidP="00353243">
      <w:pPr>
        <w:pStyle w:val="Standard"/>
        <w:spacing w:line="360" w:lineRule="auto"/>
        <w:jc w:val="both"/>
      </w:pPr>
      <w:r>
        <w:t>* Poradnia Chorób Piersi należy do Zakresu Położnictwa i Ginekologii</w:t>
      </w:r>
    </w:p>
    <w:p w14:paraId="48624118" w14:textId="58951ABB" w:rsidR="00353243" w:rsidRDefault="00353243" w:rsidP="00353243">
      <w:pPr>
        <w:pStyle w:val="Standard"/>
        <w:spacing w:line="360" w:lineRule="auto"/>
        <w:jc w:val="both"/>
      </w:pPr>
    </w:p>
    <w:p w14:paraId="735547EF" w14:textId="0700BF63" w:rsidR="00EF12DC" w:rsidRPr="00EF12DC" w:rsidRDefault="00EF12DC" w:rsidP="00EF12DC">
      <w:pPr>
        <w:pStyle w:val="Standard"/>
        <w:spacing w:line="360" w:lineRule="auto"/>
        <w:ind w:firstLine="708"/>
        <w:jc w:val="both"/>
        <w:rPr>
          <w:color w:val="auto"/>
        </w:rPr>
      </w:pPr>
      <w:r w:rsidRPr="00984BD5">
        <w:rPr>
          <w:color w:val="auto"/>
        </w:rPr>
        <w:t>Jednostką rozliczeniową z NFZ jest punkt rozliczeniowy. Każda porada udzielona przez lekarza w poradni specjalistycznej ma przyporządkowaną odpowiednią wartość punktową.</w:t>
      </w:r>
      <w:r>
        <w:rPr>
          <w:color w:val="auto"/>
        </w:rPr>
        <w:t xml:space="preserve"> </w:t>
      </w:r>
      <w:r w:rsidRPr="00984BD5">
        <w:rPr>
          <w:color w:val="auto"/>
        </w:rPr>
        <w:t xml:space="preserve">W poszczególnych poradniach dodatkowo kontrakt wyróżnia: punkty normalne, zabiegowe, pierwszorazowe i onkologiczne, </w:t>
      </w:r>
      <w:r w:rsidR="0059662D">
        <w:rPr>
          <w:color w:val="auto"/>
        </w:rPr>
        <w:t>oraz</w:t>
      </w:r>
      <w:r w:rsidRPr="00984BD5">
        <w:rPr>
          <w:color w:val="auto"/>
        </w:rPr>
        <w:t xml:space="preserve"> w poradni ginekologicznej punkty cytologiczne, a od 01.10.2019 r. w poradni okulistycznej punkty za przyjęcia ze wskazań nagłych</w:t>
      </w:r>
      <w:r>
        <w:rPr>
          <w:color w:val="auto"/>
        </w:rPr>
        <w:t>.</w:t>
      </w:r>
      <w:r w:rsidR="00353243">
        <w:tab/>
      </w:r>
    </w:p>
    <w:p w14:paraId="3F9C5445" w14:textId="77777777" w:rsidR="00353243" w:rsidRDefault="00353243" w:rsidP="00353243">
      <w:pPr>
        <w:pStyle w:val="Standard"/>
        <w:spacing w:line="360" w:lineRule="auto"/>
        <w:jc w:val="both"/>
        <w:rPr>
          <w:color w:val="auto"/>
          <w:kern w:val="0"/>
        </w:rPr>
      </w:pPr>
    </w:p>
    <w:p w14:paraId="6B59A791" w14:textId="77777777" w:rsidR="00353243" w:rsidRDefault="00353243" w:rsidP="00353243">
      <w:pPr>
        <w:pStyle w:val="Standard"/>
        <w:spacing w:line="360" w:lineRule="auto"/>
        <w:jc w:val="both"/>
        <w:rPr>
          <w:color w:val="auto"/>
          <w:kern w:val="0"/>
        </w:rPr>
      </w:pPr>
      <w:r>
        <w:rPr>
          <w:color w:val="auto"/>
          <w:kern w:val="0"/>
        </w:rPr>
        <w:t xml:space="preserve">Wykonanie kontraktu w punktach w poradniach specjalistycznych w roku 2025 było </w:t>
      </w:r>
    </w:p>
    <w:p w14:paraId="697E50F9" w14:textId="633FF789" w:rsidR="00353243" w:rsidRDefault="002B713F" w:rsidP="00353243">
      <w:pPr>
        <w:pStyle w:val="Standard"/>
        <w:spacing w:line="360" w:lineRule="auto"/>
        <w:jc w:val="both"/>
        <w:rPr>
          <w:color w:val="auto"/>
          <w:kern w:val="0"/>
        </w:rPr>
      </w:pPr>
      <w:r>
        <w:rPr>
          <w:color w:val="auto"/>
          <w:kern w:val="0"/>
        </w:rPr>
        <w:t>z</w:t>
      </w:r>
      <w:r w:rsidR="00353243">
        <w:rPr>
          <w:color w:val="auto"/>
          <w:kern w:val="0"/>
        </w:rPr>
        <w:t>różnicowane.</w:t>
      </w:r>
      <w:r w:rsidR="00400730">
        <w:rPr>
          <w:color w:val="auto"/>
          <w:kern w:val="0"/>
        </w:rPr>
        <w:t xml:space="preserve"> </w:t>
      </w:r>
    </w:p>
    <w:p w14:paraId="51D4D5A9" w14:textId="77777777" w:rsidR="007D6904" w:rsidRDefault="007D6904" w:rsidP="00353243">
      <w:pPr>
        <w:pStyle w:val="Standard"/>
        <w:spacing w:line="360" w:lineRule="auto"/>
        <w:jc w:val="both"/>
        <w:rPr>
          <w:color w:val="auto"/>
          <w:kern w:val="0"/>
        </w:rPr>
      </w:pPr>
    </w:p>
    <w:p w14:paraId="2DF53E7E" w14:textId="72796F10" w:rsidR="00353243" w:rsidRDefault="00353243" w:rsidP="00353243">
      <w:pPr>
        <w:pStyle w:val="Standard"/>
        <w:spacing w:line="360" w:lineRule="auto"/>
        <w:jc w:val="both"/>
        <w:rPr>
          <w:color w:val="auto"/>
          <w:kern w:val="0"/>
        </w:rPr>
      </w:pPr>
      <w:r>
        <w:rPr>
          <w:color w:val="auto"/>
          <w:kern w:val="0"/>
        </w:rPr>
        <w:t xml:space="preserve">Największe </w:t>
      </w:r>
      <w:r w:rsidR="00B714E3">
        <w:rPr>
          <w:color w:val="auto"/>
          <w:kern w:val="0"/>
        </w:rPr>
        <w:t>wykonanie planu</w:t>
      </w:r>
      <w:r>
        <w:rPr>
          <w:color w:val="auto"/>
          <w:kern w:val="0"/>
        </w:rPr>
        <w:t xml:space="preserve"> rocznego odnotowaliśmy </w:t>
      </w:r>
      <w:r w:rsidR="00B714E3">
        <w:rPr>
          <w:color w:val="auto"/>
          <w:kern w:val="0"/>
        </w:rPr>
        <w:t>w:</w:t>
      </w:r>
    </w:p>
    <w:p w14:paraId="76CC3BDB" w14:textId="65F95859" w:rsidR="00532AD4" w:rsidRDefault="00532AD4" w:rsidP="00532AD4">
      <w:pPr>
        <w:pStyle w:val="Akapitzlist"/>
        <w:widowControl/>
        <w:numPr>
          <w:ilvl w:val="0"/>
          <w:numId w:val="1"/>
        </w:numPr>
        <w:autoSpaceDN/>
        <w:spacing w:line="360" w:lineRule="auto"/>
      </w:pPr>
      <w:bookmarkStart w:id="1" w:name="_Hlk222744087"/>
      <w:bookmarkStart w:id="2" w:name="_Hlk222743255"/>
      <w:r>
        <w:t>Poradni Kardiologicznej PRS Nr 1</w:t>
      </w:r>
      <w:r w:rsidR="003136CD">
        <w:t> </w:t>
      </w:r>
      <w:r w:rsidR="00DF29FE">
        <w:t xml:space="preserve">       </w:t>
      </w:r>
      <w:r w:rsidR="003136CD">
        <w:t>120,27%</w:t>
      </w:r>
    </w:p>
    <w:p w14:paraId="476E73FB" w14:textId="0F576179" w:rsidR="003136CD" w:rsidRDefault="00353243" w:rsidP="00532AD4">
      <w:pPr>
        <w:pStyle w:val="Standard"/>
        <w:numPr>
          <w:ilvl w:val="0"/>
          <w:numId w:val="1"/>
        </w:numPr>
        <w:spacing w:line="360" w:lineRule="auto"/>
        <w:jc w:val="both"/>
        <w:rPr>
          <w:color w:val="auto"/>
          <w:kern w:val="0"/>
        </w:rPr>
      </w:pPr>
      <w:r w:rsidRPr="00532AD4">
        <w:rPr>
          <w:color w:val="auto"/>
          <w:kern w:val="0"/>
        </w:rPr>
        <w:t xml:space="preserve">Poradni </w:t>
      </w:r>
      <w:r w:rsidR="003136CD" w:rsidRPr="00532AD4">
        <w:rPr>
          <w:color w:val="auto"/>
          <w:kern w:val="0"/>
        </w:rPr>
        <w:t>Ginekologicznej</w:t>
      </w:r>
      <w:r w:rsidR="003136CD">
        <w:rPr>
          <w:color w:val="auto"/>
          <w:kern w:val="0"/>
        </w:rPr>
        <w:t xml:space="preserve"> PRS Nr 9 </w:t>
      </w:r>
      <w:r w:rsidR="00DF29FE">
        <w:rPr>
          <w:color w:val="auto"/>
          <w:kern w:val="0"/>
        </w:rPr>
        <w:t xml:space="preserve">      </w:t>
      </w:r>
      <w:r w:rsidR="003136CD">
        <w:rPr>
          <w:color w:val="auto"/>
          <w:kern w:val="0"/>
        </w:rPr>
        <w:t>148</w:t>
      </w:r>
      <w:r w:rsidR="007D4762">
        <w:rPr>
          <w:color w:val="auto"/>
          <w:kern w:val="0"/>
        </w:rPr>
        <w:t>,31</w:t>
      </w:r>
      <w:r w:rsidR="003136CD">
        <w:rPr>
          <w:color w:val="auto"/>
          <w:kern w:val="0"/>
        </w:rPr>
        <w:t>%</w:t>
      </w:r>
    </w:p>
    <w:p w14:paraId="3D71188A" w14:textId="5A36F75D" w:rsidR="003136CD" w:rsidRDefault="00154341" w:rsidP="00532AD4">
      <w:pPr>
        <w:pStyle w:val="Standard"/>
        <w:numPr>
          <w:ilvl w:val="0"/>
          <w:numId w:val="1"/>
        </w:numPr>
        <w:spacing w:line="360" w:lineRule="auto"/>
        <w:jc w:val="both"/>
        <w:rPr>
          <w:color w:val="auto"/>
          <w:kern w:val="0"/>
        </w:rPr>
      </w:pPr>
      <w:r w:rsidRPr="00532AD4">
        <w:rPr>
          <w:color w:val="auto"/>
          <w:kern w:val="0"/>
        </w:rPr>
        <w:t>Okulistycznej</w:t>
      </w:r>
      <w:r w:rsidR="003136CD">
        <w:rPr>
          <w:color w:val="auto"/>
          <w:kern w:val="0"/>
        </w:rPr>
        <w:t xml:space="preserve"> PRS Nr 9</w:t>
      </w:r>
      <w:r w:rsidRPr="00532AD4">
        <w:rPr>
          <w:color w:val="auto"/>
          <w:kern w:val="0"/>
        </w:rPr>
        <w:t xml:space="preserve"> </w:t>
      </w:r>
      <w:r w:rsidR="00DF29FE">
        <w:rPr>
          <w:color w:val="auto"/>
          <w:kern w:val="0"/>
        </w:rPr>
        <w:t xml:space="preserve">                        </w:t>
      </w:r>
      <w:r w:rsidR="003136CD">
        <w:rPr>
          <w:color w:val="auto"/>
          <w:kern w:val="0"/>
        </w:rPr>
        <w:t>117,68 %</w:t>
      </w:r>
    </w:p>
    <w:p w14:paraId="346B400A" w14:textId="23749A8E" w:rsidR="00353243" w:rsidRPr="00532AD4" w:rsidRDefault="00154341" w:rsidP="00532AD4">
      <w:pPr>
        <w:pStyle w:val="Standard"/>
        <w:numPr>
          <w:ilvl w:val="0"/>
          <w:numId w:val="1"/>
        </w:numPr>
        <w:spacing w:line="360" w:lineRule="auto"/>
        <w:jc w:val="both"/>
        <w:rPr>
          <w:color w:val="auto"/>
          <w:kern w:val="0"/>
        </w:rPr>
      </w:pPr>
      <w:r w:rsidRPr="00532AD4">
        <w:rPr>
          <w:color w:val="auto"/>
          <w:kern w:val="0"/>
        </w:rPr>
        <w:t xml:space="preserve">Chirurgii </w:t>
      </w:r>
      <w:r w:rsidR="00610DC0" w:rsidRPr="00532AD4">
        <w:rPr>
          <w:color w:val="auto"/>
          <w:kern w:val="0"/>
        </w:rPr>
        <w:t>Ogólnej PRS</w:t>
      </w:r>
      <w:r w:rsidR="00353243" w:rsidRPr="00532AD4">
        <w:rPr>
          <w:color w:val="auto"/>
          <w:kern w:val="0"/>
        </w:rPr>
        <w:t xml:space="preserve"> Nr </w:t>
      </w:r>
      <w:r w:rsidR="003136CD" w:rsidRPr="00532AD4">
        <w:rPr>
          <w:color w:val="auto"/>
          <w:kern w:val="0"/>
        </w:rPr>
        <w:t xml:space="preserve">9 </w:t>
      </w:r>
      <w:r w:rsidR="00DF29FE">
        <w:rPr>
          <w:color w:val="auto"/>
          <w:kern w:val="0"/>
        </w:rPr>
        <w:t xml:space="preserve">                 </w:t>
      </w:r>
      <w:r w:rsidR="003136CD" w:rsidRPr="00532AD4">
        <w:rPr>
          <w:color w:val="auto"/>
          <w:kern w:val="0"/>
        </w:rPr>
        <w:t>114</w:t>
      </w:r>
      <w:r w:rsidR="003136CD">
        <w:rPr>
          <w:color w:val="auto"/>
          <w:kern w:val="0"/>
        </w:rPr>
        <w:t>,14%</w:t>
      </w:r>
    </w:p>
    <w:bookmarkEnd w:id="1"/>
    <w:p w14:paraId="21739573" w14:textId="4B59EF02" w:rsidR="003136CD" w:rsidRPr="003136CD" w:rsidRDefault="003136CD" w:rsidP="003136CD">
      <w:pPr>
        <w:pStyle w:val="Standard"/>
        <w:numPr>
          <w:ilvl w:val="0"/>
          <w:numId w:val="1"/>
        </w:numPr>
        <w:spacing w:line="360" w:lineRule="auto"/>
        <w:jc w:val="both"/>
        <w:rPr>
          <w:color w:val="auto"/>
          <w:kern w:val="0"/>
        </w:rPr>
      </w:pPr>
      <w:r w:rsidRPr="00532AD4">
        <w:rPr>
          <w:color w:val="auto"/>
          <w:kern w:val="0"/>
        </w:rPr>
        <w:t>Poradni Ginekologicznej</w:t>
      </w:r>
      <w:r>
        <w:rPr>
          <w:color w:val="auto"/>
          <w:kern w:val="0"/>
        </w:rPr>
        <w:t xml:space="preserve"> PRS Nr 10 </w:t>
      </w:r>
      <w:r w:rsidR="00DF29FE">
        <w:rPr>
          <w:color w:val="auto"/>
          <w:kern w:val="0"/>
        </w:rPr>
        <w:t xml:space="preserve">    </w:t>
      </w:r>
      <w:r>
        <w:rPr>
          <w:color w:val="auto"/>
          <w:kern w:val="0"/>
        </w:rPr>
        <w:t>117,37 %</w:t>
      </w:r>
    </w:p>
    <w:p w14:paraId="2E298252" w14:textId="25A2EE72" w:rsidR="00353243" w:rsidRPr="005E3957" w:rsidRDefault="00353243" w:rsidP="005E3957">
      <w:pPr>
        <w:pStyle w:val="Akapitzlist"/>
        <w:widowControl/>
        <w:numPr>
          <w:ilvl w:val="0"/>
          <w:numId w:val="1"/>
        </w:numPr>
        <w:autoSpaceDN/>
        <w:spacing w:line="360" w:lineRule="auto"/>
        <w:rPr>
          <w:color w:val="auto"/>
          <w:kern w:val="0"/>
        </w:rPr>
      </w:pPr>
      <w:r>
        <w:t>Poradni Urologicznej</w:t>
      </w:r>
      <w:r w:rsidR="00DF29FE">
        <w:t xml:space="preserve"> PRS 10                </w:t>
      </w:r>
      <w:r w:rsidR="003136CD">
        <w:t>129,94</w:t>
      </w:r>
      <w:bookmarkEnd w:id="2"/>
      <w:r w:rsidR="00DF29FE">
        <w:t xml:space="preserve"> %</w:t>
      </w:r>
      <w:r w:rsidR="00444852">
        <w:t xml:space="preserve"> </w:t>
      </w:r>
      <w:r w:rsidR="00DF29FE">
        <w:br/>
      </w:r>
    </w:p>
    <w:p w14:paraId="09793D56" w14:textId="7DD83F59" w:rsidR="00353243" w:rsidRDefault="008D3240" w:rsidP="00353243">
      <w:pPr>
        <w:pStyle w:val="Standard"/>
        <w:spacing w:line="360" w:lineRule="auto"/>
        <w:jc w:val="both"/>
        <w:rPr>
          <w:color w:val="auto"/>
          <w:kern w:val="0"/>
        </w:rPr>
      </w:pPr>
      <w:r>
        <w:rPr>
          <w:color w:val="auto"/>
          <w:kern w:val="0"/>
        </w:rPr>
        <w:t>Największe n</w:t>
      </w:r>
      <w:r w:rsidR="00353243">
        <w:rPr>
          <w:color w:val="auto"/>
          <w:kern w:val="0"/>
        </w:rPr>
        <w:t>iewykonania odnotowaliśmy w:</w:t>
      </w:r>
    </w:p>
    <w:p w14:paraId="0B32D2E7" w14:textId="00101FB9" w:rsidR="00353243" w:rsidRDefault="00353243" w:rsidP="00353243">
      <w:pPr>
        <w:pStyle w:val="Standard"/>
        <w:numPr>
          <w:ilvl w:val="0"/>
          <w:numId w:val="2"/>
        </w:numPr>
        <w:spacing w:line="360" w:lineRule="auto"/>
        <w:jc w:val="both"/>
        <w:rPr>
          <w:color w:val="auto"/>
          <w:kern w:val="0"/>
        </w:rPr>
      </w:pPr>
      <w:r>
        <w:rPr>
          <w:color w:val="auto"/>
          <w:kern w:val="0"/>
        </w:rPr>
        <w:t>Poradni Diabetologicznej</w:t>
      </w:r>
      <w:r w:rsidR="002B713F">
        <w:rPr>
          <w:color w:val="auto"/>
          <w:kern w:val="0"/>
        </w:rPr>
        <w:t xml:space="preserve"> PRS Nr 9</w:t>
      </w:r>
      <w:r w:rsidR="00532AD4">
        <w:rPr>
          <w:color w:val="auto"/>
          <w:kern w:val="0"/>
        </w:rPr>
        <w:t xml:space="preserve"> </w:t>
      </w:r>
      <w:r w:rsidR="00DF29FE">
        <w:rPr>
          <w:color w:val="auto"/>
          <w:kern w:val="0"/>
        </w:rPr>
        <w:t xml:space="preserve">      </w:t>
      </w:r>
      <w:r w:rsidR="003136CD">
        <w:rPr>
          <w:color w:val="auto"/>
          <w:kern w:val="0"/>
        </w:rPr>
        <w:t>83,5%</w:t>
      </w:r>
    </w:p>
    <w:p w14:paraId="37D1A669" w14:textId="30FB0F1C" w:rsidR="00353243" w:rsidRDefault="00353243" w:rsidP="00353243">
      <w:pPr>
        <w:pStyle w:val="Standard"/>
        <w:numPr>
          <w:ilvl w:val="0"/>
          <w:numId w:val="2"/>
        </w:numPr>
        <w:spacing w:line="360" w:lineRule="auto"/>
        <w:jc w:val="both"/>
        <w:rPr>
          <w:color w:val="auto"/>
          <w:kern w:val="0"/>
        </w:rPr>
      </w:pPr>
      <w:r>
        <w:rPr>
          <w:color w:val="auto"/>
          <w:kern w:val="0"/>
        </w:rPr>
        <w:t xml:space="preserve">Poradni Reumatologicznej PRS Nr 9 </w:t>
      </w:r>
      <w:r w:rsidR="00DF29FE">
        <w:rPr>
          <w:color w:val="auto"/>
          <w:kern w:val="0"/>
        </w:rPr>
        <w:t xml:space="preserve">    </w:t>
      </w:r>
      <w:r w:rsidR="003136CD">
        <w:rPr>
          <w:color w:val="auto"/>
          <w:kern w:val="0"/>
        </w:rPr>
        <w:t>94,68%</w:t>
      </w:r>
    </w:p>
    <w:p w14:paraId="6D7585E5" w14:textId="77777777" w:rsidR="00353243" w:rsidRDefault="00353243" w:rsidP="00353243">
      <w:pPr>
        <w:pStyle w:val="Standard"/>
        <w:spacing w:line="360" w:lineRule="auto"/>
        <w:jc w:val="both"/>
      </w:pPr>
    </w:p>
    <w:p w14:paraId="3F378686" w14:textId="77777777" w:rsidR="007D6904" w:rsidRDefault="007D6904" w:rsidP="007D6904">
      <w:pPr>
        <w:pStyle w:val="NormalnyWeb"/>
        <w:spacing w:line="360" w:lineRule="auto"/>
        <w:ind w:firstLine="360"/>
        <w:jc w:val="both"/>
      </w:pPr>
      <w:r>
        <w:t xml:space="preserve">W ujęciu ogólnym należy podkreślić, że plan kontraktowy został zrealizowany całościowo. Oznacza to, że poziom wykonania świadczeń w skali całej jednostki odpowiadał założeniom określonym w umowie. Jednocześnie jednak struktura wykonania była istotnie zróżnicowana pomiędzy poszczególnymi poradniami. W części z nich odnotowano znaczące </w:t>
      </w:r>
      <w:proofErr w:type="spellStart"/>
      <w:r>
        <w:t>nadwykonania</w:t>
      </w:r>
      <w:proofErr w:type="spellEnd"/>
      <w:r>
        <w:t>, wynikające z dużego zapotrzebowania na świadczenia oraz konieczności zapewnienia ciągłości leczenia pacjentów. W innych natomiast wystąpiły istotne niewykonania planu, co było konsekwencją m.in. ograniczeń organizacyjnych spowodowanych nieobecnością lekarzy.</w:t>
      </w:r>
    </w:p>
    <w:p w14:paraId="5030ABE1" w14:textId="77777777" w:rsidR="007D6904" w:rsidRDefault="007D6904" w:rsidP="007D6904">
      <w:pPr>
        <w:pStyle w:val="NormalnyWeb"/>
        <w:spacing w:line="360" w:lineRule="auto"/>
        <w:jc w:val="both"/>
      </w:pPr>
      <w:r>
        <w:t xml:space="preserve">Istotnym czynnikiem wpływającym na realizację kontraktu było rozliczanie </w:t>
      </w:r>
      <w:proofErr w:type="spellStart"/>
      <w:r>
        <w:t>nadwykonań</w:t>
      </w:r>
      <w:proofErr w:type="spellEnd"/>
      <w:r>
        <w:t xml:space="preserve"> przez NFZ. W 2025 roku </w:t>
      </w:r>
      <w:proofErr w:type="spellStart"/>
      <w:r>
        <w:t>nadwykonania</w:t>
      </w:r>
      <w:proofErr w:type="spellEnd"/>
      <w:r>
        <w:t xml:space="preserve"> z powodu trudnej sytuacji finansowej NFZ były finansowane z opóźnieniem, co w praktyce powodowało okresowe obciążenie finansowe po stronie </w:t>
      </w:r>
      <w:r>
        <w:lastRenderedPageBreak/>
        <w:t xml:space="preserve">świadczeniodawcy i utrudniało bieżące zarządzanie środkami. Brak terminowego potwierdzenia finansowania części wykonanych świadczeń wprowadzał niepewność wśród lekarzy, którzy obawiali się braku płatności za wykonane ponad limit świadczenia. Ostatecznie NFZ zapłacił do końca marca </w:t>
      </w:r>
      <w:proofErr w:type="spellStart"/>
      <w:r>
        <w:t>nadwykonania</w:t>
      </w:r>
      <w:proofErr w:type="spellEnd"/>
      <w:r>
        <w:t>, jednak ze względu na ograniczone środki nie była to zapłata 100% we wszystkich poradniach.</w:t>
      </w:r>
    </w:p>
    <w:p w14:paraId="763EB179" w14:textId="77777777" w:rsidR="007D6904" w:rsidRDefault="007D6904" w:rsidP="007D6904">
      <w:pPr>
        <w:pStyle w:val="NormalnyWeb"/>
        <w:spacing w:line="360" w:lineRule="auto"/>
        <w:jc w:val="both"/>
      </w:pPr>
      <w:r>
        <w:t>Dodatkowo w trakcie roku następowały zmiany wartości planów kontraktowych. W niektórych obszarach były one obniżane, co wymuszało dostosowanie liczby udzielanych świadczeń do nowych limitów, często w warunkach utrzymującego się wysokiego zapotrzebowania. Takie działania wpływały na poziom dostępności świadczeń oraz powodowały konieczność podejmowania trudnych decyzji organizacyjnych. Szczególną trudność stanowił sposób ustalania planów w ciągu roku. Plan finansowy został pierwotnie określony dla pierwszego półrocza, natomiast dla kolejnych okresów nie był ustalany w sposób stabilny i przewidywalny. Zamiast jednorazowego określenia planu na drugie półrocze, wartości kontraktu były przekazywane etapowo – najpierw na okres trzech miesięcy, następnie jednego miesiąca, a później dwóch miesięcy. Taki sposób planowania uniemożliwiał długoterminowe zarządzanie zasobami, w tym planowanie pracy personelu, harmonogramów przyjęć. W praktyce oznaczało to funkcjonowanie w warunkach ciągłej niepewności co do poziomu finansowania i zakresu możliwych do realizacji świadczeń.</w:t>
      </w:r>
    </w:p>
    <w:p w14:paraId="5E2B6DE2" w14:textId="77777777" w:rsidR="007D6904" w:rsidRDefault="007D6904" w:rsidP="007D6904">
      <w:pPr>
        <w:pStyle w:val="NormalnyWeb"/>
        <w:spacing w:line="360" w:lineRule="auto"/>
        <w:jc w:val="both"/>
      </w:pPr>
      <w:r>
        <w:t>Kolejnym istotnym elementem były zmiany w zasadach kwalifikowania i rozliczania świadczeń. W szczególności preferowane było przyjmowanie pacjentów pierwszorazowych kosztem pacjentów będących w trakcie kontynuacji leczenia. Tego rodzaju podejście, choć uzasadnione z punktu widzenia zwiększania dostępności dla nowych pacjentów, w praktyce wpływało na zaburzenie ciągłości opieki oraz utrudniało racjonalne planowanie wizyt kontrolnych i dalszego leczenia. W konsekwencji w niektórych poradniach zwiększono ilość przyjętych pacjentów pierwszorazowych, przy jednoczesnym ograniczeniu realizacji świadczeń pacjentów kontynuujących leczenie.</w:t>
      </w:r>
    </w:p>
    <w:p w14:paraId="43236BEA" w14:textId="77777777" w:rsidR="007D6904" w:rsidRDefault="007D6904" w:rsidP="007D6904">
      <w:pPr>
        <w:pStyle w:val="NormalnyWeb"/>
        <w:spacing w:line="360" w:lineRule="auto"/>
        <w:jc w:val="both"/>
      </w:pPr>
      <w:r>
        <w:t xml:space="preserve">Należy również wskazać na zmianę sposobu finansowania świadczeń, jaka miała miejsce w analizowanym okresie. System rozliczeń ulegał stopniowej modyfikacji, przechodząc w kierunku większego uzależnienia finansowania od struktury udzielanych świadczeń (m.in. udziału pacjentów pierwszorazowych, określonych zakresów świadczeń czy wskaźników jakościowych), a nie wyłącznie od ich liczby. Wprowadzenie takich mechanizmów, przy jednoczesnym braku stabilnych i długoterminowych planów finansowych, dodatkowo </w:t>
      </w:r>
      <w:r>
        <w:lastRenderedPageBreak/>
        <w:t>zwiększało poziom niepewności oraz utrudniało optymalne wykorzystanie dostępnych zasobów.</w:t>
      </w:r>
    </w:p>
    <w:p w14:paraId="40EFD0AA" w14:textId="77777777" w:rsidR="007D6904" w:rsidRDefault="007D6904" w:rsidP="007D6904">
      <w:pPr>
        <w:pStyle w:val="NormalnyWeb"/>
        <w:spacing w:line="360" w:lineRule="auto"/>
        <w:jc w:val="both"/>
      </w:pPr>
      <w:r>
        <w:t xml:space="preserve">Podsumowując, mimo osiągnięcia całościowego wykonania kontraktu za rok 2025, realizacja świadczeń odbywała się w warunkach znacznej zmienności organizacyjnej i finansowej. Kluczowe wyzwania stanowiły: nierównomierne wykonanie planu pomiędzy poradniami, opóźnienia w finansowaniu </w:t>
      </w:r>
      <w:proofErr w:type="spellStart"/>
      <w:r>
        <w:t>nadwykonań</w:t>
      </w:r>
      <w:proofErr w:type="spellEnd"/>
      <w:r>
        <w:t>, zmienność i obniżanie planów kontraktowych, brak stabilności w ich ustalaniu oraz zmiany w zasadach finansowania i preferencjach dotyczących struktury świadczeń. Wszystkie te czynniki miały istotny wpływ na bieżące funkcjonowanie jednostki oraz sposób realizacji świadczeń zdrowotnych.</w:t>
      </w:r>
    </w:p>
    <w:p w14:paraId="4B24EFBC" w14:textId="77777777" w:rsidR="007D6904" w:rsidRDefault="007D6904" w:rsidP="007D6904">
      <w:pPr>
        <w:pStyle w:val="NormalnyWeb"/>
        <w:spacing w:line="360" w:lineRule="auto"/>
        <w:jc w:val="both"/>
      </w:pPr>
      <w:r>
        <w:t xml:space="preserve">Należy podkreślić, że rok 2026 zapowiada się jako okres obarczony znaczną niepewnością w zakresie finansowania świadczeń, w szczególności w obszarze </w:t>
      </w:r>
      <w:r>
        <w:rPr>
          <w:rStyle w:val="whitespace-normal"/>
          <w:rFonts w:eastAsiaTheme="majorEastAsia"/>
        </w:rPr>
        <w:t>Ambulatoryjnej Opiece Specjalistycznej</w:t>
      </w:r>
      <w:r>
        <w:t>. Brak jednoznacznych i długoterminowych deklaracji dotyczących poziomu finansowania oraz zasad rozliczeń utrudnia precyzyjne planowanie działalności i zarządzanie zasobami.</w:t>
      </w:r>
    </w:p>
    <w:p w14:paraId="630DE14D" w14:textId="6922F214" w:rsidR="007D6904" w:rsidRDefault="007D6904" w:rsidP="007D6904">
      <w:pPr>
        <w:pStyle w:val="NormalnyWeb"/>
        <w:spacing w:line="360" w:lineRule="auto"/>
        <w:jc w:val="both"/>
      </w:pPr>
      <w:r>
        <w:t xml:space="preserve">W oparciu o dotychczasowe doświadczenia oraz obserwowane kierunki zmian można przewidywać, że finansowanie </w:t>
      </w:r>
      <w:proofErr w:type="spellStart"/>
      <w:r>
        <w:t>nadwykonań</w:t>
      </w:r>
      <w:proofErr w:type="spellEnd"/>
      <w:r>
        <w:t xml:space="preserve"> będzie w przyszłości ograniczone i selektywne. Istnieje duże prawdopodobieństwo, że NFZ będzie koncentrował się przede wszystkim na finansowaniu świadczeń pierwszorazowych oraz świadczeń zabiegowych, które są traktowane jako priorytetowe z punktu widzenia poprawy dostępności systemu. W konsekwencji może to prowadzić do ograniczenia możliwości realizacji wizyt kontrolnych i dalszego leczenia w ramach poradni specjalistycznych. W praktyce oznacza to potencjalne przesuwanie części opieki nad pacjentem do POZ. Tego rodzaju rozwiązanie, choć może poprawiać wskaźniki dostępności dla nowych pacjentów, rodzi jednocześnie ryzyko pogorszenia ciągłości i jakości leczenia w przypadku pacjentów przewlekłych lub wymagających długoterminowej opieki specjalistycznej.</w:t>
      </w:r>
    </w:p>
    <w:p w14:paraId="2689374B" w14:textId="77777777" w:rsidR="007D6904" w:rsidRDefault="007D6904" w:rsidP="007D6904">
      <w:pPr>
        <w:pStyle w:val="NormalnyWeb"/>
        <w:spacing w:line="360" w:lineRule="auto"/>
        <w:jc w:val="both"/>
      </w:pPr>
      <w:r>
        <w:t>Kolejnym istotnym czynnikiem wpływającym na realizację kontraktów w 2026 roku jest zła sytuacja finansowa NFZ, która może skutkować dalszym poszukiwaniem oszczędności oraz optymalizacją kosztów. Działania te mogą obejmować m.in. ograniczanie wartości kontraktów, bardziej restrykcyjne podejście do rozliczania świadczeń oraz wprowadzanie dodatkowych kryteriów kwalifikacyjnych i jakościowych.</w:t>
      </w:r>
    </w:p>
    <w:p w14:paraId="791AF66F" w14:textId="77777777" w:rsidR="007D6904" w:rsidRDefault="007D6904" w:rsidP="007D6904">
      <w:pPr>
        <w:pStyle w:val="NormalnyWeb"/>
        <w:spacing w:line="360" w:lineRule="auto"/>
        <w:jc w:val="both"/>
      </w:pPr>
      <w:r>
        <w:lastRenderedPageBreak/>
        <w:t>W związku z powyższym należy zakładać, że realizacja kontraktów w 2026 roku będzie wymagała jeszcze większej elastyczności organizacyjnej oraz bieżącego dostosowywania działalności do zmieniających się warunków finansowych. Kluczowe znaczenie będzie miało monitorowanie struktury udzielanych świadczeń, w tym udziału porad pierwszorazowych, a także racjonalne zarządzanie procesem leczenia pacjentów w sposób zapewniający zgodność z wytycznymi NFZ, przy jednoczesnym zachowaniu odpowiedniego poziomu jakości i ciągłości opieki.</w:t>
      </w:r>
    </w:p>
    <w:p w14:paraId="145D653F" w14:textId="084506AF" w:rsidR="007D6904" w:rsidRDefault="007D6904" w:rsidP="00C74EFE">
      <w:pPr>
        <w:pStyle w:val="NormalnyWeb"/>
        <w:spacing w:line="360" w:lineRule="auto"/>
        <w:jc w:val="both"/>
      </w:pPr>
      <w:r>
        <w:t xml:space="preserve">Podsumowując, perspektywy na rok 2026 należy ocenić jako niepewne. Przewidywane kierunki zmian – w tym ograniczone finansowanie </w:t>
      </w:r>
      <w:proofErr w:type="spellStart"/>
      <w:r>
        <w:t>nadwykonań</w:t>
      </w:r>
      <w:proofErr w:type="spellEnd"/>
      <w:r>
        <w:t>, preferowanie świadczeń pierwszorazowych i zabiegowych, przesuwanie części opieki do POZ oraz presja na redukcję kosztów – będą miały istotny wpływ na sposób realizacji kontraktów. Wymaga to ostrożnego planowania, ciągłej analizy sytuacji oraz gotowości do szybkiego reagowania na decyzje NFZ</w:t>
      </w:r>
    </w:p>
    <w:p w14:paraId="15807035" w14:textId="77777777" w:rsidR="007D6904" w:rsidRDefault="007D6904" w:rsidP="00353243">
      <w:pPr>
        <w:pStyle w:val="Standard"/>
        <w:spacing w:line="360" w:lineRule="auto"/>
        <w:jc w:val="both"/>
      </w:pPr>
    </w:p>
    <w:p w14:paraId="2E0BE75E" w14:textId="77777777" w:rsidR="00C74EFE" w:rsidRDefault="00C74EFE" w:rsidP="00353243">
      <w:pPr>
        <w:pStyle w:val="Standard"/>
        <w:spacing w:line="360" w:lineRule="auto"/>
        <w:jc w:val="both"/>
      </w:pPr>
    </w:p>
    <w:p w14:paraId="3D560DB6" w14:textId="77777777" w:rsidR="00C74EFE" w:rsidRDefault="00C74EFE" w:rsidP="00353243">
      <w:pPr>
        <w:pStyle w:val="Standard"/>
        <w:spacing w:line="360" w:lineRule="auto"/>
        <w:jc w:val="both"/>
      </w:pPr>
    </w:p>
    <w:p w14:paraId="5114DA57" w14:textId="77777777" w:rsidR="00C74EFE" w:rsidRDefault="00C74EFE" w:rsidP="00353243">
      <w:pPr>
        <w:pStyle w:val="Standard"/>
        <w:spacing w:line="360" w:lineRule="auto"/>
        <w:jc w:val="both"/>
      </w:pPr>
    </w:p>
    <w:p w14:paraId="7DF33A51" w14:textId="77777777" w:rsidR="00C74EFE" w:rsidRDefault="00C74EFE" w:rsidP="00353243">
      <w:pPr>
        <w:pStyle w:val="Standard"/>
        <w:spacing w:line="360" w:lineRule="auto"/>
        <w:jc w:val="both"/>
      </w:pPr>
    </w:p>
    <w:p w14:paraId="6B098A3C" w14:textId="77777777" w:rsidR="00C74EFE" w:rsidRDefault="00C74EFE" w:rsidP="00353243">
      <w:pPr>
        <w:pStyle w:val="Standard"/>
        <w:spacing w:line="360" w:lineRule="auto"/>
        <w:jc w:val="both"/>
      </w:pPr>
    </w:p>
    <w:p w14:paraId="3EB08DAE" w14:textId="77777777" w:rsidR="00C74EFE" w:rsidRDefault="00C74EFE" w:rsidP="00353243">
      <w:pPr>
        <w:pStyle w:val="Standard"/>
        <w:spacing w:line="360" w:lineRule="auto"/>
        <w:jc w:val="both"/>
      </w:pPr>
    </w:p>
    <w:p w14:paraId="053D99B2" w14:textId="77777777" w:rsidR="00C74EFE" w:rsidRDefault="00C74EFE" w:rsidP="00353243">
      <w:pPr>
        <w:pStyle w:val="Standard"/>
        <w:spacing w:line="360" w:lineRule="auto"/>
        <w:jc w:val="both"/>
      </w:pPr>
    </w:p>
    <w:p w14:paraId="11A6F896" w14:textId="77777777" w:rsidR="00C74EFE" w:rsidRDefault="00C74EFE" w:rsidP="00353243">
      <w:pPr>
        <w:pStyle w:val="Standard"/>
        <w:spacing w:line="360" w:lineRule="auto"/>
        <w:jc w:val="both"/>
      </w:pPr>
    </w:p>
    <w:p w14:paraId="596AA62B" w14:textId="77777777" w:rsidR="00C74EFE" w:rsidRDefault="00C74EFE" w:rsidP="00353243">
      <w:pPr>
        <w:pStyle w:val="Standard"/>
        <w:spacing w:line="360" w:lineRule="auto"/>
        <w:jc w:val="both"/>
      </w:pPr>
    </w:p>
    <w:p w14:paraId="1C7B53CA" w14:textId="77777777" w:rsidR="00C74EFE" w:rsidRDefault="00C74EFE" w:rsidP="00353243">
      <w:pPr>
        <w:pStyle w:val="Standard"/>
        <w:spacing w:line="360" w:lineRule="auto"/>
        <w:jc w:val="both"/>
      </w:pPr>
    </w:p>
    <w:p w14:paraId="30700FB3" w14:textId="77777777" w:rsidR="00C74EFE" w:rsidRDefault="00C74EFE" w:rsidP="00353243">
      <w:pPr>
        <w:pStyle w:val="Standard"/>
        <w:spacing w:line="360" w:lineRule="auto"/>
        <w:jc w:val="both"/>
      </w:pPr>
    </w:p>
    <w:p w14:paraId="4DB03608" w14:textId="77777777" w:rsidR="00C74EFE" w:rsidRDefault="00C74EFE" w:rsidP="00353243">
      <w:pPr>
        <w:pStyle w:val="Standard"/>
        <w:spacing w:line="360" w:lineRule="auto"/>
        <w:jc w:val="both"/>
      </w:pPr>
    </w:p>
    <w:p w14:paraId="6552BDEC" w14:textId="77777777" w:rsidR="00C74EFE" w:rsidRDefault="00C74EFE" w:rsidP="00353243">
      <w:pPr>
        <w:pStyle w:val="Standard"/>
        <w:spacing w:line="360" w:lineRule="auto"/>
        <w:jc w:val="both"/>
      </w:pPr>
    </w:p>
    <w:p w14:paraId="4A67380A" w14:textId="77777777" w:rsidR="00C74EFE" w:rsidRDefault="00C74EFE" w:rsidP="00353243">
      <w:pPr>
        <w:pStyle w:val="Standard"/>
        <w:spacing w:line="360" w:lineRule="auto"/>
        <w:jc w:val="both"/>
      </w:pPr>
    </w:p>
    <w:p w14:paraId="78ABF817" w14:textId="77777777" w:rsidR="00C74EFE" w:rsidRDefault="00C74EFE" w:rsidP="00353243">
      <w:pPr>
        <w:pStyle w:val="Standard"/>
        <w:spacing w:line="360" w:lineRule="auto"/>
        <w:jc w:val="both"/>
      </w:pPr>
    </w:p>
    <w:p w14:paraId="1D8FE86C" w14:textId="77777777" w:rsidR="00C74EFE" w:rsidRDefault="00C74EFE" w:rsidP="00353243">
      <w:pPr>
        <w:pStyle w:val="Standard"/>
        <w:spacing w:line="360" w:lineRule="auto"/>
        <w:jc w:val="both"/>
      </w:pPr>
    </w:p>
    <w:p w14:paraId="4ED2A79C" w14:textId="77777777" w:rsidR="00C74EFE" w:rsidRDefault="00C74EFE" w:rsidP="00353243">
      <w:pPr>
        <w:pStyle w:val="Standard"/>
        <w:spacing w:line="360" w:lineRule="auto"/>
        <w:jc w:val="both"/>
      </w:pPr>
    </w:p>
    <w:p w14:paraId="5B5BCFD4" w14:textId="77777777" w:rsidR="00C74EFE" w:rsidRDefault="00C74EFE" w:rsidP="00353243">
      <w:pPr>
        <w:pStyle w:val="Standard"/>
        <w:spacing w:line="360" w:lineRule="auto"/>
        <w:jc w:val="both"/>
      </w:pPr>
    </w:p>
    <w:p w14:paraId="0DD6A634" w14:textId="77777777" w:rsidR="00C74EFE" w:rsidRDefault="00C74EFE" w:rsidP="00353243">
      <w:pPr>
        <w:pStyle w:val="Standard"/>
        <w:spacing w:line="360" w:lineRule="auto"/>
        <w:jc w:val="both"/>
      </w:pPr>
    </w:p>
    <w:p w14:paraId="7E25BDE7" w14:textId="77777777" w:rsidR="00353243" w:rsidRDefault="00353243" w:rsidP="00C74EFE">
      <w:pPr>
        <w:pStyle w:val="Standard"/>
        <w:spacing w:line="360" w:lineRule="auto"/>
        <w:jc w:val="center"/>
        <w:rPr>
          <w:b/>
          <w:bCs/>
        </w:rPr>
      </w:pPr>
      <w:r>
        <w:rPr>
          <w:b/>
          <w:bCs/>
        </w:rPr>
        <w:lastRenderedPageBreak/>
        <w:t>Opieka Psychiatryczna</w:t>
      </w:r>
    </w:p>
    <w:p w14:paraId="7F474876" w14:textId="77777777" w:rsidR="008B5876" w:rsidRDefault="008B5876" w:rsidP="00353243">
      <w:pPr>
        <w:pStyle w:val="Standard"/>
        <w:spacing w:line="360" w:lineRule="auto"/>
        <w:jc w:val="center"/>
        <w:rPr>
          <w:b/>
          <w:bCs/>
        </w:rPr>
      </w:pPr>
    </w:p>
    <w:p w14:paraId="08F336A4" w14:textId="4D456674" w:rsidR="00353243" w:rsidRDefault="00353243" w:rsidP="00353243">
      <w:pPr>
        <w:pStyle w:val="Standard"/>
        <w:spacing w:line="360" w:lineRule="auto"/>
        <w:ind w:firstLine="708"/>
        <w:jc w:val="both"/>
        <w:rPr>
          <w:color w:val="auto"/>
        </w:rPr>
      </w:pPr>
      <w:r>
        <w:rPr>
          <w:bCs/>
          <w:color w:val="auto"/>
        </w:rPr>
        <w:t xml:space="preserve">W Poradni Zdrowia Psychicznego umowa z NFZ obowiązuje od dnia 1 stycznia 2019 r. </w:t>
      </w:r>
      <w:r>
        <w:rPr>
          <w:b/>
          <w:bCs/>
          <w:color w:val="auto"/>
        </w:rPr>
        <w:t xml:space="preserve">            </w:t>
      </w:r>
      <w:r>
        <w:rPr>
          <w:color w:val="auto"/>
        </w:rPr>
        <w:t xml:space="preserve">  do 30.06.2026 r.  </w:t>
      </w:r>
    </w:p>
    <w:p w14:paraId="7583DE75" w14:textId="639253E2" w:rsidR="00353243" w:rsidRDefault="00353243" w:rsidP="00353243">
      <w:pPr>
        <w:pStyle w:val="Standard"/>
        <w:spacing w:line="360" w:lineRule="auto"/>
        <w:jc w:val="both"/>
        <w:rPr>
          <w:b/>
          <w:color w:val="FF0000"/>
        </w:rPr>
      </w:pPr>
      <w:r>
        <w:rPr>
          <w:bCs/>
          <w:color w:val="000000" w:themeColor="text1"/>
        </w:rPr>
        <w:t>Plan rzeczowo-finansowy w Poradni Zdrowia Psychicznego od 1 stycznia do 31 grudnia 2025 roku wynosi</w:t>
      </w:r>
      <w:r w:rsidR="002B713F">
        <w:rPr>
          <w:bCs/>
          <w:color w:val="000000" w:themeColor="text1"/>
        </w:rPr>
        <w:t>ł</w:t>
      </w:r>
      <w:r>
        <w:rPr>
          <w:bCs/>
          <w:color w:val="000000" w:themeColor="text1"/>
        </w:rPr>
        <w:t xml:space="preserve"> 114 361 punktów. </w:t>
      </w:r>
      <w:r w:rsidR="00EF12DC">
        <w:rPr>
          <w:bCs/>
          <w:color w:val="000000" w:themeColor="text1"/>
        </w:rPr>
        <w:t>Plan roczny</w:t>
      </w:r>
      <w:r>
        <w:rPr>
          <w:bCs/>
          <w:color w:val="000000" w:themeColor="text1"/>
        </w:rPr>
        <w:t xml:space="preserve"> w punktach został zrealizowany w </w:t>
      </w:r>
      <w:r>
        <w:rPr>
          <w:b/>
          <w:color w:val="000000" w:themeColor="text1"/>
        </w:rPr>
        <w:t>94,42 %.</w:t>
      </w:r>
      <w:r>
        <w:rPr>
          <w:bCs/>
          <w:color w:val="000000" w:themeColor="text1"/>
        </w:rPr>
        <w:t xml:space="preserve"> Niewykonanie wynika</w:t>
      </w:r>
      <w:r w:rsidR="008C4057">
        <w:rPr>
          <w:bCs/>
          <w:color w:val="000000" w:themeColor="text1"/>
        </w:rPr>
        <w:t>ło</w:t>
      </w:r>
      <w:r>
        <w:rPr>
          <w:bCs/>
          <w:color w:val="000000" w:themeColor="text1"/>
        </w:rPr>
        <w:t xml:space="preserve"> z długiej nieobecności psychologów oraz nieodwoływania wizyt przez pacjentów. Nieodwołana wizyta to zmarnowany termin, który mógł zostać wykorzystany przez kogoś w pilnej potrzebie, a także realna strata finansowa dla placówki</w:t>
      </w:r>
      <w:r w:rsidR="008C4057">
        <w:rPr>
          <w:bCs/>
          <w:color w:val="000000" w:themeColor="text1"/>
        </w:rPr>
        <w:t>.</w:t>
      </w:r>
      <w:r w:rsidR="00555417">
        <w:rPr>
          <w:bCs/>
          <w:color w:val="000000" w:themeColor="text1"/>
        </w:rPr>
        <w:t xml:space="preserve"> </w:t>
      </w:r>
      <w:r w:rsidR="00E521D6">
        <w:rPr>
          <w:color w:val="auto"/>
        </w:rPr>
        <w:t xml:space="preserve">Należy zaznaczyć, że w 2025 </w:t>
      </w:r>
      <w:r w:rsidR="00C228A5">
        <w:rPr>
          <w:color w:val="auto"/>
        </w:rPr>
        <w:t>roku zostało</w:t>
      </w:r>
      <w:r w:rsidR="00E521D6">
        <w:rPr>
          <w:color w:val="auto"/>
        </w:rPr>
        <w:t xml:space="preserve"> </w:t>
      </w:r>
      <w:r w:rsidR="004A543D">
        <w:rPr>
          <w:color w:val="auto"/>
        </w:rPr>
        <w:t>nie</w:t>
      </w:r>
      <w:r w:rsidR="00E521D6">
        <w:rPr>
          <w:color w:val="auto"/>
        </w:rPr>
        <w:t>odwołanych 1431 wizyt</w:t>
      </w:r>
      <w:r w:rsidR="004A543D">
        <w:rPr>
          <w:color w:val="auto"/>
        </w:rPr>
        <w:t xml:space="preserve"> przez pacjentów</w:t>
      </w:r>
      <w:r w:rsidR="00E521D6">
        <w:rPr>
          <w:color w:val="auto"/>
        </w:rPr>
        <w:t>.</w:t>
      </w:r>
    </w:p>
    <w:p w14:paraId="19FF87F5" w14:textId="5F5626A1" w:rsidR="00353243" w:rsidRDefault="00353243" w:rsidP="00EF12DC">
      <w:pPr>
        <w:pStyle w:val="Standard"/>
        <w:spacing w:line="360" w:lineRule="auto"/>
        <w:jc w:val="both"/>
        <w:rPr>
          <w:color w:val="auto"/>
        </w:rPr>
      </w:pPr>
      <w:r>
        <w:rPr>
          <w:color w:val="auto"/>
        </w:rPr>
        <w:t xml:space="preserve"> Do 31.12.2025 roku lekarze psychiatrzy i psycholodzy udzielili </w:t>
      </w:r>
      <w:r>
        <w:rPr>
          <w:b/>
          <w:bCs/>
          <w:color w:val="auto"/>
        </w:rPr>
        <w:t>12 927</w:t>
      </w:r>
      <w:r>
        <w:rPr>
          <w:color w:val="auto"/>
        </w:rPr>
        <w:t xml:space="preserve"> porad, w tym </w:t>
      </w:r>
      <w:r>
        <w:rPr>
          <w:b/>
          <w:bCs/>
          <w:color w:val="auto"/>
        </w:rPr>
        <w:t>1 250</w:t>
      </w:r>
      <w:r>
        <w:rPr>
          <w:color w:val="auto"/>
        </w:rPr>
        <w:t xml:space="preserve"> teleporad.</w:t>
      </w:r>
      <w:r w:rsidR="00555417">
        <w:rPr>
          <w:color w:val="auto"/>
        </w:rPr>
        <w:t xml:space="preserve"> </w:t>
      </w:r>
    </w:p>
    <w:p w14:paraId="0EBA2CF2" w14:textId="77777777" w:rsidR="005B1871" w:rsidRDefault="005B1871" w:rsidP="00EF12DC">
      <w:pPr>
        <w:pStyle w:val="Standard"/>
        <w:spacing w:line="360" w:lineRule="auto"/>
        <w:jc w:val="both"/>
        <w:rPr>
          <w:color w:val="auto"/>
        </w:rPr>
      </w:pPr>
    </w:p>
    <w:p w14:paraId="635E43B0" w14:textId="789ED566" w:rsidR="005B1871" w:rsidRPr="00A02789" w:rsidRDefault="005B1871" w:rsidP="005B1871">
      <w:pPr>
        <w:pStyle w:val="Standard"/>
        <w:spacing w:line="276" w:lineRule="auto"/>
        <w:jc w:val="center"/>
      </w:pPr>
      <w:r w:rsidRPr="00A02789">
        <w:t xml:space="preserve">Ilość wykonanych porad/teleporad </w:t>
      </w:r>
      <w:r>
        <w:t>w PZP</w:t>
      </w:r>
      <w:r w:rsidRPr="00A02789">
        <w:t xml:space="preserve"> od 01.01.202</w:t>
      </w:r>
      <w:r w:rsidR="00C6213B">
        <w:t>5</w:t>
      </w:r>
      <w:r>
        <w:t xml:space="preserve"> r. </w:t>
      </w:r>
      <w:r w:rsidRPr="00A02789">
        <w:t>-31.1</w:t>
      </w:r>
      <w:r>
        <w:t>2.</w:t>
      </w:r>
      <w:r w:rsidRPr="00A02789">
        <w:t>202</w:t>
      </w:r>
      <w:r w:rsidR="00C6213B">
        <w:t>5</w:t>
      </w:r>
      <w:r>
        <w:t xml:space="preserve"> r.</w:t>
      </w:r>
    </w:p>
    <w:p w14:paraId="17B3AF71" w14:textId="77777777" w:rsidR="005B1871" w:rsidRDefault="005B1871" w:rsidP="00EF12DC">
      <w:pPr>
        <w:pStyle w:val="Standard"/>
        <w:spacing w:line="360" w:lineRule="auto"/>
        <w:jc w:val="both"/>
        <w:rPr>
          <w:b/>
          <w:color w:val="000000" w:themeColor="text1"/>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2336"/>
        <w:gridCol w:w="15"/>
        <w:gridCol w:w="2055"/>
      </w:tblGrid>
      <w:tr w:rsidR="005B1871" w14:paraId="322F4D94" w14:textId="77777777" w:rsidTr="00FD5E99">
        <w:trPr>
          <w:trHeight w:val="690"/>
        </w:trPr>
        <w:tc>
          <w:tcPr>
            <w:tcW w:w="8375" w:type="dxa"/>
            <w:gridSpan w:val="4"/>
          </w:tcPr>
          <w:p w14:paraId="201A760B" w14:textId="2B1B66CD" w:rsidR="005B1871" w:rsidRDefault="005B1871" w:rsidP="00FD5E99">
            <w:pPr>
              <w:pStyle w:val="Standard"/>
              <w:spacing w:line="360" w:lineRule="auto"/>
              <w:ind w:left="532"/>
              <w:jc w:val="center"/>
              <w:rPr>
                <w:bCs/>
                <w:color w:val="000000" w:themeColor="text1"/>
              </w:rPr>
            </w:pPr>
            <w:r w:rsidRPr="007A08ED">
              <w:rPr>
                <w:rFonts w:ascii="Calibri" w:eastAsia="Times New Roman" w:hAnsi="Calibri" w:cs="Calibri"/>
                <w:b/>
                <w:bCs/>
                <w:kern w:val="0"/>
                <w:sz w:val="28"/>
                <w:szCs w:val="28"/>
                <w:lang w:eastAsia="pl-PL" w:bidi="ar-SA"/>
              </w:rPr>
              <w:t>LICZBA ZREALIZOWANYCH WIZYT PZP ROK 202</w:t>
            </w:r>
            <w:r w:rsidR="0011083C">
              <w:rPr>
                <w:rFonts w:ascii="Calibri" w:eastAsia="Times New Roman" w:hAnsi="Calibri" w:cs="Calibri"/>
                <w:b/>
                <w:bCs/>
                <w:kern w:val="0"/>
                <w:sz w:val="28"/>
                <w:szCs w:val="28"/>
                <w:lang w:eastAsia="pl-PL" w:bidi="ar-SA"/>
              </w:rPr>
              <w:t>5</w:t>
            </w:r>
          </w:p>
        </w:tc>
      </w:tr>
      <w:tr w:rsidR="005B1871" w14:paraId="3F2A7569" w14:textId="77777777" w:rsidTr="00FD5E99">
        <w:tblPrEx>
          <w:tblBorders>
            <w:left w:val="none" w:sz="0" w:space="0" w:color="auto"/>
            <w:bottom w:val="none" w:sz="0" w:space="0" w:color="auto"/>
            <w:right w:val="none" w:sz="0" w:space="0" w:color="auto"/>
            <w:insideH w:val="none" w:sz="0" w:space="0" w:color="auto"/>
            <w:insideV w:val="none" w:sz="0" w:space="0" w:color="auto"/>
          </w:tblBorders>
        </w:tblPrEx>
        <w:trPr>
          <w:trHeight w:val="484"/>
        </w:trPr>
        <w:tc>
          <w:tcPr>
            <w:tcW w:w="3969" w:type="dxa"/>
            <w:vMerge w:val="restart"/>
            <w:tcBorders>
              <w:left w:val="single" w:sz="4" w:space="0" w:color="auto"/>
              <w:right w:val="single" w:sz="4" w:space="0" w:color="auto"/>
            </w:tcBorders>
          </w:tcPr>
          <w:p w14:paraId="5BBFE87A" w14:textId="77777777" w:rsidR="005B1871" w:rsidRDefault="005B1871" w:rsidP="00FD5E99">
            <w:pPr>
              <w:pStyle w:val="Standard"/>
              <w:spacing w:line="360" w:lineRule="auto"/>
              <w:jc w:val="center"/>
              <w:rPr>
                <w:b/>
                <w:color w:val="000000" w:themeColor="text1"/>
              </w:rPr>
            </w:pPr>
          </w:p>
          <w:p w14:paraId="6C46759F" w14:textId="77777777" w:rsidR="005B1871" w:rsidRPr="00610E9E" w:rsidRDefault="005B1871" w:rsidP="00FD5E99">
            <w:pPr>
              <w:pStyle w:val="Standard"/>
              <w:spacing w:line="360" w:lineRule="auto"/>
              <w:jc w:val="center"/>
              <w:rPr>
                <w:b/>
                <w:color w:val="000000" w:themeColor="text1"/>
              </w:rPr>
            </w:pPr>
            <w:r w:rsidRPr="00610E9E">
              <w:rPr>
                <w:b/>
                <w:color w:val="000000" w:themeColor="text1"/>
              </w:rPr>
              <w:t>Porady</w:t>
            </w:r>
          </w:p>
        </w:tc>
        <w:tc>
          <w:tcPr>
            <w:tcW w:w="4406" w:type="dxa"/>
            <w:gridSpan w:val="3"/>
            <w:tcBorders>
              <w:top w:val="single" w:sz="4" w:space="0" w:color="auto"/>
              <w:bottom w:val="single" w:sz="4" w:space="0" w:color="auto"/>
              <w:right w:val="single" w:sz="4" w:space="0" w:color="auto"/>
            </w:tcBorders>
          </w:tcPr>
          <w:p w14:paraId="661B44C7" w14:textId="1C16E982" w:rsidR="005B1871" w:rsidRDefault="005B1871" w:rsidP="00FD5E99">
            <w:pPr>
              <w:suppressAutoHyphens w:val="0"/>
              <w:jc w:val="center"/>
              <w:rPr>
                <w:bCs/>
                <w:color w:val="000000" w:themeColor="text1"/>
              </w:rPr>
            </w:pPr>
            <w:r w:rsidRPr="007A08ED">
              <w:rPr>
                <w:rFonts w:ascii="Calibri" w:eastAsia="Times New Roman" w:hAnsi="Calibri" w:cs="Calibri"/>
                <w:b/>
                <w:bCs/>
                <w:kern w:val="0"/>
                <w:sz w:val="22"/>
                <w:szCs w:val="22"/>
                <w:lang w:eastAsia="pl-PL" w:bidi="ar-SA"/>
              </w:rPr>
              <w:t>ROK 202</w:t>
            </w:r>
            <w:r w:rsidR="0011083C">
              <w:rPr>
                <w:rFonts w:ascii="Calibri" w:eastAsia="Times New Roman" w:hAnsi="Calibri" w:cs="Calibri"/>
                <w:b/>
                <w:bCs/>
                <w:kern w:val="0"/>
                <w:sz w:val="22"/>
                <w:szCs w:val="22"/>
                <w:lang w:eastAsia="pl-PL" w:bidi="ar-SA"/>
              </w:rPr>
              <w:t>5</w:t>
            </w:r>
          </w:p>
        </w:tc>
      </w:tr>
      <w:tr w:rsidR="005B1871" w14:paraId="5E496540" w14:textId="77777777" w:rsidTr="00FD5E99">
        <w:trPr>
          <w:trHeight w:val="375"/>
        </w:trPr>
        <w:tc>
          <w:tcPr>
            <w:tcW w:w="3969" w:type="dxa"/>
            <w:vMerge/>
            <w:tcBorders>
              <w:left w:val="single" w:sz="4" w:space="0" w:color="auto"/>
              <w:right w:val="single" w:sz="4" w:space="0" w:color="auto"/>
            </w:tcBorders>
          </w:tcPr>
          <w:p w14:paraId="5AE7254B" w14:textId="77777777" w:rsidR="005B1871" w:rsidRPr="00EC68C6" w:rsidRDefault="005B1871" w:rsidP="00FD5E99">
            <w:pPr>
              <w:pStyle w:val="Standard"/>
              <w:spacing w:line="360" w:lineRule="auto"/>
              <w:jc w:val="both"/>
              <w:rPr>
                <w:rFonts w:ascii="Calibri" w:eastAsia="Times New Roman" w:hAnsi="Calibri" w:cs="Calibri"/>
                <w:i/>
                <w:iCs/>
                <w:kern w:val="0"/>
                <w:sz w:val="22"/>
                <w:szCs w:val="22"/>
                <w:lang w:eastAsia="pl-PL" w:bidi="ar-SA"/>
              </w:rPr>
            </w:pPr>
          </w:p>
        </w:tc>
        <w:tc>
          <w:tcPr>
            <w:tcW w:w="2351" w:type="dxa"/>
            <w:gridSpan w:val="2"/>
            <w:tcBorders>
              <w:left w:val="single" w:sz="4" w:space="0" w:color="auto"/>
            </w:tcBorders>
          </w:tcPr>
          <w:p w14:paraId="708E9A84" w14:textId="77777777" w:rsidR="005B1871" w:rsidRDefault="005B1871" w:rsidP="00FD5E99">
            <w:pPr>
              <w:pStyle w:val="Standard"/>
              <w:spacing w:line="360" w:lineRule="auto"/>
              <w:jc w:val="center"/>
              <w:rPr>
                <w:bCs/>
                <w:color w:val="000000" w:themeColor="text1"/>
              </w:rPr>
            </w:pPr>
            <w:r w:rsidRPr="007A08ED">
              <w:rPr>
                <w:rFonts w:ascii="Calibri" w:eastAsia="Times New Roman" w:hAnsi="Calibri" w:cs="Calibri"/>
                <w:b/>
                <w:bCs/>
                <w:kern w:val="0"/>
                <w:sz w:val="22"/>
                <w:szCs w:val="22"/>
                <w:lang w:eastAsia="pl-PL" w:bidi="ar-SA"/>
              </w:rPr>
              <w:t>OGÓŁEM</w:t>
            </w:r>
          </w:p>
        </w:tc>
        <w:tc>
          <w:tcPr>
            <w:tcW w:w="2055" w:type="dxa"/>
          </w:tcPr>
          <w:p w14:paraId="29CAA5DA" w14:textId="77777777" w:rsidR="005B1871" w:rsidRDefault="005B1871" w:rsidP="00FD5E99">
            <w:pPr>
              <w:pStyle w:val="Standard"/>
              <w:spacing w:line="360" w:lineRule="auto"/>
              <w:jc w:val="center"/>
              <w:rPr>
                <w:bCs/>
                <w:color w:val="000000" w:themeColor="text1"/>
              </w:rPr>
            </w:pPr>
            <w:r w:rsidRPr="007A08ED">
              <w:rPr>
                <w:rFonts w:ascii="Calibri" w:eastAsia="Times New Roman" w:hAnsi="Calibri" w:cs="Calibri"/>
                <w:b/>
                <w:bCs/>
                <w:kern w:val="0"/>
                <w:sz w:val="22"/>
                <w:szCs w:val="22"/>
                <w:lang w:eastAsia="pl-PL" w:bidi="ar-SA"/>
              </w:rPr>
              <w:t>TELEPORADY</w:t>
            </w:r>
          </w:p>
        </w:tc>
      </w:tr>
      <w:tr w:rsidR="005B1871" w14:paraId="79AED863" w14:textId="77777777" w:rsidTr="00FD5E99">
        <w:trPr>
          <w:trHeight w:val="525"/>
        </w:trPr>
        <w:tc>
          <w:tcPr>
            <w:tcW w:w="3969" w:type="dxa"/>
          </w:tcPr>
          <w:p w14:paraId="40BE25E9" w14:textId="77777777" w:rsidR="005B1871" w:rsidRDefault="005B1871" w:rsidP="00FD5E99">
            <w:pPr>
              <w:pStyle w:val="Standard"/>
              <w:jc w:val="center"/>
              <w:rPr>
                <w:bCs/>
                <w:color w:val="000000" w:themeColor="text1"/>
              </w:rPr>
            </w:pPr>
            <w:r>
              <w:rPr>
                <w:rFonts w:ascii="Calibri" w:eastAsia="Times New Roman" w:hAnsi="Calibri" w:cs="Calibri"/>
                <w:b/>
                <w:bCs/>
                <w:kern w:val="0"/>
                <w:sz w:val="22"/>
                <w:szCs w:val="22"/>
                <w:lang w:eastAsia="pl-PL" w:bidi="ar-SA"/>
              </w:rPr>
              <w:t>Porady udzielone przez lekarzy Psychiatrów</w:t>
            </w:r>
          </w:p>
        </w:tc>
        <w:tc>
          <w:tcPr>
            <w:tcW w:w="2336" w:type="dxa"/>
          </w:tcPr>
          <w:p w14:paraId="59C1376E" w14:textId="7C0C47E1" w:rsidR="005B1871" w:rsidRPr="00106B42" w:rsidRDefault="005B1871" w:rsidP="00FD5E99">
            <w:pPr>
              <w:pStyle w:val="Standard"/>
              <w:spacing w:line="360" w:lineRule="auto"/>
              <w:ind w:left="532"/>
              <w:jc w:val="right"/>
              <w:rPr>
                <w:b/>
                <w:color w:val="000000" w:themeColor="text1"/>
              </w:rPr>
            </w:pPr>
            <w:r w:rsidRPr="00106B42">
              <w:rPr>
                <w:b/>
                <w:color w:val="000000" w:themeColor="text1"/>
              </w:rPr>
              <w:t>9</w:t>
            </w:r>
            <w:r>
              <w:rPr>
                <w:b/>
                <w:color w:val="000000" w:themeColor="text1"/>
              </w:rPr>
              <w:t>72</w:t>
            </w:r>
            <w:r w:rsidR="00C6213B">
              <w:rPr>
                <w:b/>
                <w:color w:val="000000" w:themeColor="text1"/>
              </w:rPr>
              <w:t>4</w:t>
            </w:r>
          </w:p>
        </w:tc>
        <w:tc>
          <w:tcPr>
            <w:tcW w:w="2070" w:type="dxa"/>
            <w:gridSpan w:val="2"/>
          </w:tcPr>
          <w:p w14:paraId="6478645B" w14:textId="11EC131D" w:rsidR="005B1871" w:rsidRPr="00106B42" w:rsidRDefault="005B1871" w:rsidP="00FD5E99">
            <w:pPr>
              <w:pStyle w:val="Standard"/>
              <w:spacing w:line="360" w:lineRule="auto"/>
              <w:ind w:left="532"/>
              <w:jc w:val="right"/>
              <w:rPr>
                <w:b/>
                <w:color w:val="000000" w:themeColor="text1"/>
              </w:rPr>
            </w:pPr>
            <w:r w:rsidRPr="00106B42">
              <w:rPr>
                <w:b/>
                <w:color w:val="000000" w:themeColor="text1"/>
              </w:rPr>
              <w:t>1</w:t>
            </w:r>
            <w:r>
              <w:rPr>
                <w:b/>
                <w:color w:val="000000" w:themeColor="text1"/>
              </w:rPr>
              <w:t>208</w:t>
            </w:r>
          </w:p>
        </w:tc>
      </w:tr>
      <w:tr w:rsidR="005B1871" w14:paraId="613A5927" w14:textId="77777777" w:rsidTr="00FD5E99">
        <w:trPr>
          <w:trHeight w:val="405"/>
        </w:trPr>
        <w:tc>
          <w:tcPr>
            <w:tcW w:w="3969" w:type="dxa"/>
            <w:vMerge w:val="restart"/>
          </w:tcPr>
          <w:p w14:paraId="43B04C4B" w14:textId="77777777" w:rsidR="005B1871" w:rsidRPr="00333A37" w:rsidRDefault="005B1871" w:rsidP="00FD5E99">
            <w:pPr>
              <w:widowControl/>
              <w:suppressAutoHyphens w:val="0"/>
              <w:autoSpaceDN/>
              <w:jc w:val="center"/>
              <w:rPr>
                <w:rFonts w:ascii="Calibri" w:eastAsia="Times New Roman" w:hAnsi="Calibri" w:cs="Calibri"/>
                <w:b/>
                <w:bCs/>
                <w:kern w:val="0"/>
                <w:sz w:val="22"/>
                <w:szCs w:val="22"/>
                <w:lang w:eastAsia="pl-PL" w:bidi="ar-SA"/>
              </w:rPr>
            </w:pPr>
            <w:r>
              <w:rPr>
                <w:rFonts w:ascii="Calibri" w:eastAsia="Times New Roman" w:hAnsi="Calibri" w:cs="Calibri"/>
                <w:b/>
                <w:bCs/>
                <w:kern w:val="0"/>
                <w:sz w:val="22"/>
                <w:szCs w:val="22"/>
                <w:lang w:eastAsia="pl-PL" w:bidi="ar-SA"/>
              </w:rPr>
              <w:t>Porady udzielone przez Psychologów</w:t>
            </w:r>
          </w:p>
        </w:tc>
        <w:tc>
          <w:tcPr>
            <w:tcW w:w="2351" w:type="dxa"/>
            <w:gridSpan w:val="2"/>
          </w:tcPr>
          <w:p w14:paraId="5D6BBCAD" w14:textId="77777777" w:rsidR="005B1871" w:rsidRDefault="005B1871" w:rsidP="00FD5E99">
            <w:pPr>
              <w:pStyle w:val="Standard"/>
              <w:spacing w:line="360" w:lineRule="auto"/>
              <w:ind w:left="532"/>
              <w:jc w:val="both"/>
              <w:rPr>
                <w:bCs/>
                <w:color w:val="000000" w:themeColor="text1"/>
              </w:rPr>
            </w:pPr>
            <w:r w:rsidRPr="007A08ED">
              <w:rPr>
                <w:rFonts w:ascii="Calibri" w:eastAsia="Times New Roman" w:hAnsi="Calibri" w:cs="Calibri"/>
                <w:i/>
                <w:iCs/>
                <w:kern w:val="0"/>
                <w:sz w:val="22"/>
                <w:szCs w:val="22"/>
                <w:lang w:eastAsia="pl-PL" w:bidi="ar-SA"/>
              </w:rPr>
              <w:t>Psychoterapie</w:t>
            </w:r>
          </w:p>
        </w:tc>
        <w:tc>
          <w:tcPr>
            <w:tcW w:w="2055" w:type="dxa"/>
          </w:tcPr>
          <w:p w14:paraId="0932141D" w14:textId="77777777" w:rsidR="005B1871" w:rsidRDefault="005B1871" w:rsidP="00FD5E99">
            <w:pPr>
              <w:pStyle w:val="Standard"/>
              <w:spacing w:line="360" w:lineRule="auto"/>
              <w:ind w:left="532"/>
              <w:jc w:val="both"/>
              <w:rPr>
                <w:bCs/>
                <w:color w:val="000000" w:themeColor="text1"/>
              </w:rPr>
            </w:pPr>
          </w:p>
        </w:tc>
      </w:tr>
      <w:tr w:rsidR="005B1871" w14:paraId="69A7792A" w14:textId="77777777" w:rsidTr="00FD5E99">
        <w:trPr>
          <w:trHeight w:val="300"/>
        </w:trPr>
        <w:tc>
          <w:tcPr>
            <w:tcW w:w="3969" w:type="dxa"/>
            <w:vMerge/>
          </w:tcPr>
          <w:p w14:paraId="167B04FD" w14:textId="77777777" w:rsidR="005B1871" w:rsidRDefault="005B1871" w:rsidP="00FD5E99">
            <w:pPr>
              <w:pStyle w:val="Standard"/>
              <w:spacing w:line="360" w:lineRule="auto"/>
              <w:jc w:val="both"/>
              <w:rPr>
                <w:bCs/>
                <w:color w:val="000000" w:themeColor="text1"/>
              </w:rPr>
            </w:pPr>
          </w:p>
        </w:tc>
        <w:tc>
          <w:tcPr>
            <w:tcW w:w="2351" w:type="dxa"/>
            <w:gridSpan w:val="2"/>
          </w:tcPr>
          <w:p w14:paraId="087B0CE5" w14:textId="094E154E" w:rsidR="005B1871" w:rsidRDefault="000D0009" w:rsidP="00FD5E99">
            <w:pPr>
              <w:pStyle w:val="Standard"/>
              <w:spacing w:line="360" w:lineRule="auto"/>
              <w:jc w:val="right"/>
              <w:rPr>
                <w:bCs/>
                <w:color w:val="000000" w:themeColor="text1"/>
              </w:rPr>
            </w:pPr>
            <w:r>
              <w:rPr>
                <w:bCs/>
                <w:color w:val="000000" w:themeColor="text1"/>
              </w:rPr>
              <w:t>2074</w:t>
            </w:r>
          </w:p>
        </w:tc>
        <w:tc>
          <w:tcPr>
            <w:tcW w:w="2055" w:type="dxa"/>
          </w:tcPr>
          <w:p w14:paraId="73AA5C65" w14:textId="5FEA78E5" w:rsidR="005B1871" w:rsidRDefault="000D0009" w:rsidP="00FD5E99">
            <w:pPr>
              <w:pStyle w:val="Standard"/>
              <w:spacing w:line="360" w:lineRule="auto"/>
              <w:jc w:val="right"/>
              <w:rPr>
                <w:bCs/>
                <w:color w:val="000000" w:themeColor="text1"/>
              </w:rPr>
            </w:pPr>
            <w:r>
              <w:rPr>
                <w:bCs/>
                <w:color w:val="000000" w:themeColor="text1"/>
              </w:rPr>
              <w:t>14</w:t>
            </w:r>
          </w:p>
        </w:tc>
      </w:tr>
      <w:tr w:rsidR="005B1871" w14:paraId="14D671DA" w14:textId="77777777" w:rsidTr="00FD5E99">
        <w:trPr>
          <w:trHeight w:val="315"/>
        </w:trPr>
        <w:tc>
          <w:tcPr>
            <w:tcW w:w="3969" w:type="dxa"/>
            <w:vMerge/>
          </w:tcPr>
          <w:p w14:paraId="58E01E71" w14:textId="77777777" w:rsidR="005B1871" w:rsidRPr="007A08ED" w:rsidRDefault="005B1871" w:rsidP="00FD5E99">
            <w:pPr>
              <w:pStyle w:val="Standard"/>
              <w:spacing w:line="360" w:lineRule="auto"/>
              <w:jc w:val="both"/>
              <w:rPr>
                <w:rFonts w:ascii="Calibri" w:eastAsia="Times New Roman" w:hAnsi="Calibri" w:cs="Calibri"/>
                <w:i/>
                <w:iCs/>
                <w:kern w:val="0"/>
                <w:sz w:val="22"/>
                <w:szCs w:val="22"/>
                <w:lang w:eastAsia="pl-PL" w:bidi="ar-SA"/>
              </w:rPr>
            </w:pPr>
          </w:p>
        </w:tc>
        <w:tc>
          <w:tcPr>
            <w:tcW w:w="2351" w:type="dxa"/>
            <w:gridSpan w:val="2"/>
          </w:tcPr>
          <w:p w14:paraId="28FCBB41" w14:textId="77777777" w:rsidR="005B1871" w:rsidRDefault="005B1871" w:rsidP="00FD5E99">
            <w:pPr>
              <w:pStyle w:val="Standard"/>
              <w:spacing w:line="360" w:lineRule="auto"/>
              <w:jc w:val="both"/>
              <w:rPr>
                <w:bCs/>
                <w:color w:val="000000" w:themeColor="text1"/>
              </w:rPr>
            </w:pPr>
            <w:r w:rsidRPr="007A08ED">
              <w:rPr>
                <w:rFonts w:ascii="Calibri" w:eastAsia="Times New Roman" w:hAnsi="Calibri" w:cs="Calibri"/>
                <w:i/>
                <w:iCs/>
                <w:kern w:val="0"/>
                <w:sz w:val="22"/>
                <w:szCs w:val="22"/>
                <w:lang w:eastAsia="pl-PL" w:bidi="ar-SA"/>
              </w:rPr>
              <w:t>Porady psychologiczne</w:t>
            </w:r>
          </w:p>
        </w:tc>
        <w:tc>
          <w:tcPr>
            <w:tcW w:w="2055" w:type="dxa"/>
          </w:tcPr>
          <w:p w14:paraId="02A87D2A" w14:textId="77777777" w:rsidR="005B1871" w:rsidRDefault="005B1871" w:rsidP="00FD5E99">
            <w:pPr>
              <w:pStyle w:val="Standard"/>
              <w:spacing w:line="360" w:lineRule="auto"/>
              <w:jc w:val="both"/>
              <w:rPr>
                <w:bCs/>
                <w:color w:val="000000" w:themeColor="text1"/>
              </w:rPr>
            </w:pPr>
          </w:p>
        </w:tc>
      </w:tr>
      <w:tr w:rsidR="005B1871" w14:paraId="19DE4970" w14:textId="77777777" w:rsidTr="00FD5E99">
        <w:trPr>
          <w:trHeight w:val="480"/>
        </w:trPr>
        <w:tc>
          <w:tcPr>
            <w:tcW w:w="3969" w:type="dxa"/>
            <w:vMerge/>
          </w:tcPr>
          <w:p w14:paraId="01DA7784" w14:textId="77777777" w:rsidR="005B1871" w:rsidRDefault="005B1871" w:rsidP="00FD5E99">
            <w:pPr>
              <w:pStyle w:val="Standard"/>
              <w:spacing w:line="360" w:lineRule="auto"/>
              <w:jc w:val="both"/>
              <w:rPr>
                <w:bCs/>
                <w:color w:val="000000" w:themeColor="text1"/>
              </w:rPr>
            </w:pPr>
          </w:p>
        </w:tc>
        <w:tc>
          <w:tcPr>
            <w:tcW w:w="2351" w:type="dxa"/>
            <w:gridSpan w:val="2"/>
          </w:tcPr>
          <w:p w14:paraId="3527B9BA" w14:textId="32212960" w:rsidR="005B1871" w:rsidRDefault="005B1871" w:rsidP="00FD5E99">
            <w:pPr>
              <w:pStyle w:val="Standard"/>
              <w:spacing w:line="360" w:lineRule="auto"/>
              <w:jc w:val="right"/>
              <w:rPr>
                <w:bCs/>
                <w:color w:val="000000" w:themeColor="text1"/>
              </w:rPr>
            </w:pPr>
            <w:r>
              <w:rPr>
                <w:bCs/>
                <w:color w:val="000000" w:themeColor="text1"/>
              </w:rPr>
              <w:t>1</w:t>
            </w:r>
            <w:r w:rsidR="000D0009">
              <w:rPr>
                <w:bCs/>
                <w:color w:val="000000" w:themeColor="text1"/>
              </w:rPr>
              <w:t>129</w:t>
            </w:r>
          </w:p>
        </w:tc>
        <w:tc>
          <w:tcPr>
            <w:tcW w:w="2055" w:type="dxa"/>
          </w:tcPr>
          <w:p w14:paraId="500CE5F2" w14:textId="37EB3FAB" w:rsidR="005B1871" w:rsidRDefault="00396DDE" w:rsidP="00FD5E99">
            <w:pPr>
              <w:pStyle w:val="Standard"/>
              <w:spacing w:line="360" w:lineRule="auto"/>
              <w:jc w:val="right"/>
              <w:rPr>
                <w:bCs/>
                <w:color w:val="000000" w:themeColor="text1"/>
              </w:rPr>
            </w:pPr>
            <w:r>
              <w:rPr>
                <w:bCs/>
                <w:color w:val="000000" w:themeColor="text1"/>
              </w:rPr>
              <w:t xml:space="preserve"> </w:t>
            </w:r>
            <w:r w:rsidR="000D0009">
              <w:rPr>
                <w:bCs/>
                <w:color w:val="000000" w:themeColor="text1"/>
              </w:rPr>
              <w:t>2</w:t>
            </w:r>
            <w:r w:rsidR="00C6213B">
              <w:rPr>
                <w:bCs/>
                <w:color w:val="000000" w:themeColor="text1"/>
              </w:rPr>
              <w:t>8</w:t>
            </w:r>
          </w:p>
        </w:tc>
      </w:tr>
      <w:tr w:rsidR="005B1871" w14:paraId="2A8C45CF" w14:textId="77777777" w:rsidTr="00FD5E99">
        <w:trPr>
          <w:trHeight w:val="465"/>
        </w:trPr>
        <w:tc>
          <w:tcPr>
            <w:tcW w:w="3969" w:type="dxa"/>
          </w:tcPr>
          <w:p w14:paraId="7FB3FCF7" w14:textId="77777777" w:rsidR="005B1871" w:rsidRPr="00333A37" w:rsidRDefault="005B1871" w:rsidP="00FD5E99">
            <w:pPr>
              <w:pStyle w:val="Standard"/>
              <w:tabs>
                <w:tab w:val="left" w:pos="2550"/>
              </w:tabs>
              <w:spacing w:line="360" w:lineRule="auto"/>
              <w:jc w:val="right"/>
              <w:rPr>
                <w:bCs/>
                <w:color w:val="000000" w:themeColor="text1"/>
              </w:rPr>
            </w:pPr>
            <w:r w:rsidRPr="00333A37">
              <w:rPr>
                <w:bCs/>
                <w:color w:val="000000" w:themeColor="text1"/>
              </w:rPr>
              <w:t>Suma Porad Psychologów</w:t>
            </w:r>
          </w:p>
        </w:tc>
        <w:tc>
          <w:tcPr>
            <w:tcW w:w="2351" w:type="dxa"/>
            <w:gridSpan w:val="2"/>
          </w:tcPr>
          <w:p w14:paraId="36FC812C" w14:textId="6B23D5DF" w:rsidR="005B1871" w:rsidRPr="00106B42" w:rsidRDefault="005B1871" w:rsidP="00FD5E99">
            <w:pPr>
              <w:pStyle w:val="Standard"/>
              <w:spacing w:line="360" w:lineRule="auto"/>
              <w:jc w:val="right"/>
              <w:rPr>
                <w:b/>
                <w:color w:val="000000" w:themeColor="text1"/>
              </w:rPr>
            </w:pPr>
            <w:r w:rsidRPr="00106B42">
              <w:rPr>
                <w:b/>
                <w:color w:val="000000" w:themeColor="text1"/>
              </w:rPr>
              <w:t>3</w:t>
            </w:r>
            <w:r w:rsidR="000D0009">
              <w:rPr>
                <w:b/>
                <w:color w:val="000000" w:themeColor="text1"/>
              </w:rPr>
              <w:t>203</w:t>
            </w:r>
          </w:p>
        </w:tc>
        <w:tc>
          <w:tcPr>
            <w:tcW w:w="2055" w:type="dxa"/>
          </w:tcPr>
          <w:p w14:paraId="0FF44F20" w14:textId="5CE1EEA6" w:rsidR="005B1871" w:rsidRPr="00106B42" w:rsidRDefault="00160C68" w:rsidP="00FD5E99">
            <w:pPr>
              <w:pStyle w:val="Standard"/>
              <w:spacing w:line="360" w:lineRule="auto"/>
              <w:jc w:val="right"/>
              <w:rPr>
                <w:b/>
                <w:color w:val="000000" w:themeColor="text1"/>
              </w:rPr>
            </w:pPr>
            <w:r>
              <w:rPr>
                <w:b/>
                <w:color w:val="000000" w:themeColor="text1"/>
              </w:rPr>
              <w:t>42</w:t>
            </w:r>
          </w:p>
        </w:tc>
      </w:tr>
      <w:tr w:rsidR="005B1871" w14:paraId="546EEE0B" w14:textId="77777777" w:rsidTr="00FD5E9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969" w:type="dxa"/>
            <w:tcBorders>
              <w:top w:val="single" w:sz="4" w:space="0" w:color="auto"/>
              <w:left w:val="single" w:sz="4" w:space="0" w:color="auto"/>
              <w:bottom w:val="single" w:sz="4" w:space="0" w:color="auto"/>
              <w:right w:val="single" w:sz="4" w:space="0" w:color="auto"/>
            </w:tcBorders>
          </w:tcPr>
          <w:p w14:paraId="625EDF1A" w14:textId="77777777" w:rsidR="005B1871" w:rsidRPr="00333A37" w:rsidRDefault="005B1871" w:rsidP="00FD5E99">
            <w:pPr>
              <w:pStyle w:val="Standard"/>
              <w:spacing w:line="360" w:lineRule="auto"/>
              <w:jc w:val="right"/>
              <w:rPr>
                <w:b/>
                <w:color w:val="000000" w:themeColor="text1"/>
              </w:rPr>
            </w:pPr>
            <w:r>
              <w:rPr>
                <w:b/>
                <w:color w:val="000000" w:themeColor="text1"/>
              </w:rPr>
              <w:t>Suma Porad PZP</w:t>
            </w:r>
          </w:p>
        </w:tc>
        <w:tc>
          <w:tcPr>
            <w:tcW w:w="2351" w:type="dxa"/>
            <w:gridSpan w:val="2"/>
            <w:tcBorders>
              <w:left w:val="single" w:sz="4" w:space="0" w:color="auto"/>
              <w:bottom w:val="single" w:sz="4" w:space="0" w:color="auto"/>
            </w:tcBorders>
          </w:tcPr>
          <w:p w14:paraId="6CA1DE88" w14:textId="0E0D1F2C" w:rsidR="005B1871" w:rsidRPr="00333A37" w:rsidRDefault="00C6213B" w:rsidP="00FD5E99">
            <w:pPr>
              <w:pStyle w:val="Standard"/>
              <w:spacing w:line="360" w:lineRule="auto"/>
              <w:jc w:val="right"/>
              <w:rPr>
                <w:b/>
                <w:color w:val="000000" w:themeColor="text1"/>
              </w:rPr>
            </w:pPr>
            <w:r>
              <w:rPr>
                <w:b/>
                <w:color w:val="000000" w:themeColor="text1"/>
              </w:rPr>
              <w:t>12927</w:t>
            </w:r>
          </w:p>
        </w:tc>
        <w:tc>
          <w:tcPr>
            <w:tcW w:w="2055" w:type="dxa"/>
            <w:tcBorders>
              <w:left w:val="single" w:sz="4" w:space="0" w:color="auto"/>
              <w:bottom w:val="single" w:sz="4" w:space="0" w:color="auto"/>
              <w:right w:val="single" w:sz="4" w:space="0" w:color="auto"/>
            </w:tcBorders>
          </w:tcPr>
          <w:p w14:paraId="18E2EB70" w14:textId="55958716" w:rsidR="005B1871" w:rsidRPr="00333A37" w:rsidRDefault="005B1871" w:rsidP="00FD5E99">
            <w:pPr>
              <w:pStyle w:val="Standard"/>
              <w:spacing w:line="360" w:lineRule="auto"/>
              <w:jc w:val="right"/>
              <w:rPr>
                <w:b/>
                <w:color w:val="000000" w:themeColor="text1"/>
              </w:rPr>
            </w:pPr>
            <w:r w:rsidRPr="00333A37">
              <w:rPr>
                <w:b/>
                <w:color w:val="000000" w:themeColor="text1"/>
              </w:rPr>
              <w:t>1</w:t>
            </w:r>
            <w:r w:rsidR="00C6213B">
              <w:rPr>
                <w:b/>
                <w:color w:val="000000" w:themeColor="text1"/>
              </w:rPr>
              <w:t>250</w:t>
            </w:r>
          </w:p>
        </w:tc>
      </w:tr>
      <w:tr w:rsidR="005B1871" w14:paraId="5C52DF4C" w14:textId="77777777" w:rsidTr="00FD5E9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375" w:type="dxa"/>
            <w:gridSpan w:val="4"/>
            <w:tcBorders>
              <w:top w:val="single" w:sz="4" w:space="0" w:color="auto"/>
            </w:tcBorders>
          </w:tcPr>
          <w:p w14:paraId="3EAF0B57" w14:textId="77777777" w:rsidR="005B1871" w:rsidRDefault="005B1871" w:rsidP="00FD5E99">
            <w:pPr>
              <w:pStyle w:val="Standard"/>
              <w:spacing w:line="360" w:lineRule="auto"/>
              <w:ind w:left="2124" w:firstLine="708"/>
              <w:rPr>
                <w:bCs/>
                <w:color w:val="000000" w:themeColor="text1"/>
              </w:rPr>
            </w:pPr>
          </w:p>
        </w:tc>
      </w:tr>
    </w:tbl>
    <w:p w14:paraId="65E1BCF2" w14:textId="77777777" w:rsidR="005B1871" w:rsidRPr="00EF12DC" w:rsidRDefault="005B1871" w:rsidP="00EF12DC">
      <w:pPr>
        <w:pStyle w:val="Standard"/>
        <w:spacing w:line="360" w:lineRule="auto"/>
        <w:jc w:val="both"/>
        <w:rPr>
          <w:b/>
          <w:color w:val="000000" w:themeColor="text1"/>
        </w:rPr>
      </w:pPr>
    </w:p>
    <w:sectPr w:rsidR="005B1871" w:rsidRPr="00EF1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A95225D0"/>
    <w:name w:val="WW8Num2"/>
    <w:lvl w:ilvl="0">
      <w:start w:val="1"/>
      <w:numFmt w:val="decimal"/>
      <w:lvlText w:val="%1."/>
      <w:lvlJc w:val="left"/>
      <w:pPr>
        <w:tabs>
          <w:tab w:val="num" w:pos="360"/>
        </w:tabs>
        <w:ind w:left="360" w:hanging="360"/>
      </w:pPr>
      <w:rPr>
        <w:b w:val="0"/>
        <w:bCs/>
      </w:rPr>
    </w:lvl>
  </w:abstractNum>
  <w:abstractNum w:abstractNumId="1" w15:restartNumberingAfterBreak="0">
    <w:nsid w:val="4BF83EC7"/>
    <w:multiLevelType w:val="hybridMultilevel"/>
    <w:tmpl w:val="82125C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C4824A5"/>
    <w:multiLevelType w:val="hybridMultilevel"/>
    <w:tmpl w:val="93F82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AE7118"/>
    <w:multiLevelType w:val="hybridMultilevel"/>
    <w:tmpl w:val="16701BEE"/>
    <w:lvl w:ilvl="0" w:tplc="B79202E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71281360">
    <w:abstractNumId w:val="3"/>
  </w:num>
  <w:num w:numId="2" w16cid:durableId="464276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853514">
    <w:abstractNumId w:val="0"/>
    <w:lvlOverride w:ilvl="0">
      <w:startOverride w:val="1"/>
    </w:lvlOverride>
  </w:num>
  <w:num w:numId="4" w16cid:durableId="392000455">
    <w:abstractNumId w:val="3"/>
  </w:num>
  <w:num w:numId="5" w16cid:durableId="1805346353">
    <w:abstractNumId w:val="1"/>
  </w:num>
  <w:num w:numId="6" w16cid:durableId="100840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43"/>
    <w:rsid w:val="00004A9F"/>
    <w:rsid w:val="00070950"/>
    <w:rsid w:val="000924AA"/>
    <w:rsid w:val="000B7B29"/>
    <w:rsid w:val="000D0009"/>
    <w:rsid w:val="000E3F2A"/>
    <w:rsid w:val="0011083C"/>
    <w:rsid w:val="00124BFC"/>
    <w:rsid w:val="00154341"/>
    <w:rsid w:val="00154E7F"/>
    <w:rsid w:val="00160C68"/>
    <w:rsid w:val="001B6286"/>
    <w:rsid w:val="001C3B3C"/>
    <w:rsid w:val="00254EBD"/>
    <w:rsid w:val="002B713F"/>
    <w:rsid w:val="002C4E57"/>
    <w:rsid w:val="002D35FD"/>
    <w:rsid w:val="00306B85"/>
    <w:rsid w:val="003136CD"/>
    <w:rsid w:val="00335362"/>
    <w:rsid w:val="003508EB"/>
    <w:rsid w:val="00353243"/>
    <w:rsid w:val="00396DDE"/>
    <w:rsid w:val="003B57B1"/>
    <w:rsid w:val="003C5198"/>
    <w:rsid w:val="003F5B33"/>
    <w:rsid w:val="00400730"/>
    <w:rsid w:val="00444852"/>
    <w:rsid w:val="00494C72"/>
    <w:rsid w:val="004A543D"/>
    <w:rsid w:val="004B18CC"/>
    <w:rsid w:val="004B6A6B"/>
    <w:rsid w:val="00532AD4"/>
    <w:rsid w:val="00540CB6"/>
    <w:rsid w:val="00544F49"/>
    <w:rsid w:val="0054670C"/>
    <w:rsid w:val="00555417"/>
    <w:rsid w:val="0059662D"/>
    <w:rsid w:val="005B1871"/>
    <w:rsid w:val="005C6C5B"/>
    <w:rsid w:val="005E2AC1"/>
    <w:rsid w:val="005E3957"/>
    <w:rsid w:val="00610DC0"/>
    <w:rsid w:val="0068716E"/>
    <w:rsid w:val="006B19DD"/>
    <w:rsid w:val="007A6D08"/>
    <w:rsid w:val="007D4762"/>
    <w:rsid w:val="007D6904"/>
    <w:rsid w:val="007E6954"/>
    <w:rsid w:val="008B5876"/>
    <w:rsid w:val="008C4057"/>
    <w:rsid w:val="008D3240"/>
    <w:rsid w:val="008E5CF7"/>
    <w:rsid w:val="0093088E"/>
    <w:rsid w:val="009469CB"/>
    <w:rsid w:val="00957B3A"/>
    <w:rsid w:val="009E4BA0"/>
    <w:rsid w:val="00A2254A"/>
    <w:rsid w:val="00A4257B"/>
    <w:rsid w:val="00A929BD"/>
    <w:rsid w:val="00AC73E0"/>
    <w:rsid w:val="00AE0C89"/>
    <w:rsid w:val="00B044F9"/>
    <w:rsid w:val="00B70B42"/>
    <w:rsid w:val="00B714E3"/>
    <w:rsid w:val="00C228A5"/>
    <w:rsid w:val="00C6213B"/>
    <w:rsid w:val="00C7060F"/>
    <w:rsid w:val="00C74EFE"/>
    <w:rsid w:val="00C90D07"/>
    <w:rsid w:val="00D73DA7"/>
    <w:rsid w:val="00D843C3"/>
    <w:rsid w:val="00DA09BC"/>
    <w:rsid w:val="00DD4000"/>
    <w:rsid w:val="00DF29FE"/>
    <w:rsid w:val="00E16099"/>
    <w:rsid w:val="00E42BCE"/>
    <w:rsid w:val="00E521D6"/>
    <w:rsid w:val="00E90A4A"/>
    <w:rsid w:val="00EA500D"/>
    <w:rsid w:val="00EF12DC"/>
    <w:rsid w:val="00F27E6B"/>
    <w:rsid w:val="00FF01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88CA"/>
  <w15:chartTrackingRefBased/>
  <w15:docId w15:val="{D1C4ADAA-F4FA-4E5D-92F5-35079687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243"/>
    <w:pPr>
      <w:widowControl w:val="0"/>
      <w:suppressAutoHyphens/>
      <w:autoSpaceDN w:val="0"/>
      <w:spacing w:after="0" w:line="240" w:lineRule="auto"/>
    </w:pPr>
    <w:rPr>
      <w:rFonts w:ascii="Times New Roman" w:eastAsia="Arial Unicode MS" w:hAnsi="Times New Roman" w:cs="Tahoma"/>
      <w:color w:val="000000"/>
      <w:kern w:val="3"/>
      <w:sz w:val="24"/>
      <w:szCs w:val="24"/>
      <w:lang w:bidi="en-US"/>
      <w14:ligatures w14:val="none"/>
    </w:rPr>
  </w:style>
  <w:style w:type="paragraph" w:styleId="Nagwek1">
    <w:name w:val="heading 1"/>
    <w:basedOn w:val="Normalny"/>
    <w:next w:val="Normalny"/>
    <w:link w:val="Nagwek1Znak"/>
    <w:uiPriority w:val="9"/>
    <w:qFormat/>
    <w:rsid w:val="003532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532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5324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5324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5324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5324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324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324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324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324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5324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5324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5324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5324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532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32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32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3243"/>
    <w:rPr>
      <w:rFonts w:eastAsiaTheme="majorEastAsia" w:cstheme="majorBidi"/>
      <w:color w:val="272727" w:themeColor="text1" w:themeTint="D8"/>
    </w:rPr>
  </w:style>
  <w:style w:type="paragraph" w:styleId="Tytu">
    <w:name w:val="Title"/>
    <w:basedOn w:val="Normalny"/>
    <w:next w:val="Normalny"/>
    <w:link w:val="TytuZnak"/>
    <w:uiPriority w:val="10"/>
    <w:qFormat/>
    <w:rsid w:val="0035324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32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32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32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3243"/>
    <w:pPr>
      <w:spacing w:before="160"/>
      <w:jc w:val="center"/>
    </w:pPr>
    <w:rPr>
      <w:i/>
      <w:iCs/>
      <w:color w:val="404040" w:themeColor="text1" w:themeTint="BF"/>
    </w:rPr>
  </w:style>
  <w:style w:type="character" w:customStyle="1" w:styleId="CytatZnak">
    <w:name w:val="Cytat Znak"/>
    <w:basedOn w:val="Domylnaczcionkaakapitu"/>
    <w:link w:val="Cytat"/>
    <w:uiPriority w:val="29"/>
    <w:rsid w:val="00353243"/>
    <w:rPr>
      <w:i/>
      <w:iCs/>
      <w:color w:val="404040" w:themeColor="text1" w:themeTint="BF"/>
    </w:rPr>
  </w:style>
  <w:style w:type="paragraph" w:styleId="Akapitzlist">
    <w:name w:val="List Paragraph"/>
    <w:basedOn w:val="Normalny"/>
    <w:uiPriority w:val="34"/>
    <w:qFormat/>
    <w:rsid w:val="00353243"/>
    <w:pPr>
      <w:ind w:left="720"/>
      <w:contextualSpacing/>
    </w:pPr>
  </w:style>
  <w:style w:type="character" w:styleId="Wyrnienieintensywne">
    <w:name w:val="Intense Emphasis"/>
    <w:basedOn w:val="Domylnaczcionkaakapitu"/>
    <w:uiPriority w:val="21"/>
    <w:qFormat/>
    <w:rsid w:val="00353243"/>
    <w:rPr>
      <w:i/>
      <w:iCs/>
      <w:color w:val="2F5496" w:themeColor="accent1" w:themeShade="BF"/>
    </w:rPr>
  </w:style>
  <w:style w:type="paragraph" w:styleId="Cytatintensywny">
    <w:name w:val="Intense Quote"/>
    <w:basedOn w:val="Normalny"/>
    <w:next w:val="Normalny"/>
    <w:link w:val="CytatintensywnyZnak"/>
    <w:uiPriority w:val="30"/>
    <w:qFormat/>
    <w:rsid w:val="00353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53243"/>
    <w:rPr>
      <w:i/>
      <w:iCs/>
      <w:color w:val="2F5496" w:themeColor="accent1" w:themeShade="BF"/>
    </w:rPr>
  </w:style>
  <w:style w:type="character" w:styleId="Odwoanieintensywne">
    <w:name w:val="Intense Reference"/>
    <w:basedOn w:val="Domylnaczcionkaakapitu"/>
    <w:uiPriority w:val="32"/>
    <w:qFormat/>
    <w:rsid w:val="00353243"/>
    <w:rPr>
      <w:b/>
      <w:bCs/>
      <w:smallCaps/>
      <w:color w:val="2F5496" w:themeColor="accent1" w:themeShade="BF"/>
      <w:spacing w:val="5"/>
    </w:rPr>
  </w:style>
  <w:style w:type="paragraph" w:customStyle="1" w:styleId="Standard">
    <w:name w:val="Standard"/>
    <w:rsid w:val="00353243"/>
    <w:pPr>
      <w:suppressAutoHyphens/>
      <w:autoSpaceDN w:val="0"/>
      <w:spacing w:after="0" w:line="240" w:lineRule="auto"/>
    </w:pPr>
    <w:rPr>
      <w:rFonts w:ascii="Times New Roman" w:eastAsia="Arial Unicode MS" w:hAnsi="Times New Roman" w:cs="Tahoma"/>
      <w:color w:val="000000"/>
      <w:kern w:val="3"/>
      <w:sz w:val="24"/>
      <w:szCs w:val="24"/>
      <w:lang w:bidi="en-US"/>
      <w14:ligatures w14:val="none"/>
    </w:rPr>
  </w:style>
  <w:style w:type="paragraph" w:customStyle="1" w:styleId="Default">
    <w:name w:val="Default"/>
    <w:rsid w:val="00353243"/>
    <w:pPr>
      <w:autoSpaceDE w:val="0"/>
      <w:autoSpaceDN w:val="0"/>
      <w:adjustRightInd w:val="0"/>
      <w:spacing w:after="0" w:line="240" w:lineRule="auto"/>
    </w:pPr>
    <w:rPr>
      <w:rFonts w:ascii="Arial" w:eastAsia="Arial Unicode MS" w:hAnsi="Arial" w:cs="Arial"/>
      <w:color w:val="000000"/>
      <w:kern w:val="0"/>
      <w:sz w:val="24"/>
      <w:szCs w:val="24"/>
      <w14:ligatures w14:val="none"/>
    </w:rPr>
  </w:style>
  <w:style w:type="table" w:styleId="Tabela-Siatka">
    <w:name w:val="Table Grid"/>
    <w:basedOn w:val="Standardowy"/>
    <w:uiPriority w:val="39"/>
    <w:rsid w:val="00353243"/>
    <w:pPr>
      <w:spacing w:after="0" w:line="240" w:lineRule="auto"/>
    </w:pPr>
    <w:rPr>
      <w:color w:val="000000"/>
      <w:kern w:val="3"/>
      <w:lang w:bidi="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Standard"/>
    <w:link w:val="NagwekZnak"/>
    <w:rsid w:val="00D73DA7"/>
    <w:pPr>
      <w:tabs>
        <w:tab w:val="center" w:pos="4536"/>
        <w:tab w:val="right" w:pos="9072"/>
      </w:tabs>
      <w:textAlignment w:val="baseline"/>
    </w:pPr>
  </w:style>
  <w:style w:type="character" w:customStyle="1" w:styleId="NagwekZnak">
    <w:name w:val="Nagłówek Znak"/>
    <w:basedOn w:val="Domylnaczcionkaakapitu"/>
    <w:link w:val="Nagwek"/>
    <w:rsid w:val="00D73DA7"/>
    <w:rPr>
      <w:rFonts w:ascii="Times New Roman" w:eastAsia="Arial Unicode MS" w:hAnsi="Times New Roman" w:cs="Tahoma"/>
      <w:color w:val="000000"/>
      <w:kern w:val="3"/>
      <w:sz w:val="24"/>
      <w:szCs w:val="24"/>
      <w:lang w:bidi="en-US"/>
      <w14:ligatures w14:val="none"/>
    </w:rPr>
  </w:style>
  <w:style w:type="paragraph" w:styleId="NormalnyWeb">
    <w:name w:val="Normal (Web)"/>
    <w:basedOn w:val="Normalny"/>
    <w:uiPriority w:val="99"/>
    <w:unhideWhenUsed/>
    <w:rsid w:val="007D6904"/>
    <w:pPr>
      <w:widowControl/>
      <w:suppressAutoHyphens w:val="0"/>
      <w:autoSpaceDN/>
      <w:spacing w:before="100" w:beforeAutospacing="1" w:after="100" w:afterAutospacing="1"/>
    </w:pPr>
    <w:rPr>
      <w:rFonts w:eastAsia="Times New Roman" w:cs="Times New Roman"/>
      <w:color w:val="auto"/>
      <w:kern w:val="0"/>
      <w:lang w:eastAsia="pl-PL" w:bidi="ar-SA"/>
    </w:rPr>
  </w:style>
  <w:style w:type="character" w:customStyle="1" w:styleId="whitespace-normal">
    <w:name w:val="whitespace-normal"/>
    <w:basedOn w:val="Domylnaczcionkaakapitu"/>
    <w:rsid w:val="007D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8</Pages>
  <Words>1825</Words>
  <Characters>10955</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um um</cp:lastModifiedBy>
  <cp:revision>49</cp:revision>
  <cp:lastPrinted>2026-02-25T08:11:00Z</cp:lastPrinted>
  <dcterms:created xsi:type="dcterms:W3CDTF">2026-02-25T07:58:00Z</dcterms:created>
  <dcterms:modified xsi:type="dcterms:W3CDTF">2026-05-07T11:00:00Z</dcterms:modified>
</cp:coreProperties>
</file>