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t>Sosnowiec, dnia 09.04.2026 r.</w:t>
      </w:r>
    </w:p>
    <w:p>
      <w:pPr>
        <w:pStyle w:val="Normal"/>
        <w:rPr/>
      </w:pPr>
      <w:r>
        <w:rPr/>
      </w:r>
    </w:p>
    <w:p>
      <w:pPr>
        <w:pStyle w:val="Normal"/>
        <w:rPr/>
      </w:pPr>
      <w:r>
        <w:rPr/>
      </w:r>
    </w:p>
    <w:p>
      <w:pPr>
        <w:pStyle w:val="Normal"/>
        <w:rPr/>
      </w:pPr>
      <w:r>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lang w:val="pl-PL" w:eastAsia="pl-PL"/>
        </w:rPr>
        <w:drawing>
          <wp:inline distT="0" distB="0" distL="0" distR="0">
            <wp:extent cx="2639695" cy="956945"/>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rcRect l="-40" t="-112" r="-40" b="-112"/>
                    <a:stretch>
                      <a:fillRect/>
                    </a:stretch>
                  </pic:blipFill>
                  <pic:spPr bwMode="auto">
                    <a:xfrm>
                      <a:off x="0" y="0"/>
                      <a:ext cx="2639695" cy="956945"/>
                    </a:xfrm>
                    <a:prstGeom prst="rect">
                      <a:avLst/>
                    </a:prstGeom>
                  </pic:spPr>
                </pic:pic>
              </a:graphicData>
            </a:graphic>
          </wp:inline>
        </w:drawing>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spacing w:lineRule="auto" w:line="360"/>
        <w:jc w:val="center"/>
        <w:rPr>
          <w:rFonts w:ascii="Arial" w:hAnsi="Arial" w:cs="Arial"/>
          <w:b/>
          <w:b/>
          <w:sz w:val="30"/>
          <w:szCs w:val="30"/>
        </w:rPr>
      </w:pPr>
      <w:r>
        <w:rPr>
          <w:rFonts w:cs="Arial" w:ascii="Arial" w:hAnsi="Arial"/>
          <w:b/>
          <w:sz w:val="30"/>
          <w:szCs w:val="30"/>
        </w:rPr>
        <w:t xml:space="preserve">Materiał informacyjny </w:t>
      </w:r>
    </w:p>
    <w:p>
      <w:pPr>
        <w:pStyle w:val="Normal"/>
        <w:spacing w:lineRule="auto" w:line="360"/>
        <w:jc w:val="center"/>
        <w:rPr>
          <w:rFonts w:ascii="Arial" w:hAnsi="Arial" w:cs="Arial"/>
          <w:b/>
          <w:b/>
          <w:sz w:val="30"/>
          <w:szCs w:val="30"/>
        </w:rPr>
      </w:pPr>
      <w:r>
        <w:rPr>
          <w:rFonts w:cs="Arial" w:ascii="Arial" w:hAnsi="Arial"/>
          <w:b/>
          <w:sz w:val="30"/>
          <w:szCs w:val="30"/>
        </w:rPr>
        <w:t xml:space="preserve">na posiedzenie </w:t>
      </w:r>
    </w:p>
    <w:p>
      <w:pPr>
        <w:pStyle w:val="Normal"/>
        <w:spacing w:lineRule="auto" w:line="360"/>
        <w:jc w:val="center"/>
        <w:rPr>
          <w:rFonts w:ascii="Arial" w:hAnsi="Arial" w:cs="Arial"/>
          <w:b/>
          <w:b/>
          <w:sz w:val="30"/>
          <w:szCs w:val="30"/>
        </w:rPr>
      </w:pPr>
      <w:r>
        <w:rPr>
          <w:rFonts w:cs="Arial" w:ascii="Arial" w:hAnsi="Arial"/>
          <w:b/>
          <w:sz w:val="30"/>
          <w:szCs w:val="30"/>
        </w:rPr>
        <w:t xml:space="preserve">Komisji Gospodarki Komunalnej i Komunikacji </w:t>
      </w:r>
    </w:p>
    <w:p>
      <w:pPr>
        <w:pStyle w:val="Normal"/>
        <w:spacing w:lineRule="auto" w:line="360"/>
        <w:jc w:val="center"/>
        <w:rPr>
          <w:rFonts w:ascii="Arial" w:hAnsi="Arial" w:cs="Arial"/>
          <w:b/>
          <w:b/>
          <w:sz w:val="30"/>
          <w:szCs w:val="30"/>
        </w:rPr>
      </w:pPr>
      <w:r>
        <w:rPr>
          <w:rFonts w:cs="Arial" w:ascii="Arial" w:hAnsi="Arial"/>
          <w:b/>
          <w:sz w:val="30"/>
          <w:szCs w:val="30"/>
        </w:rPr>
        <w:t>Rady Miejskiej w Sosnowcu</w:t>
      </w:r>
    </w:p>
    <w:p>
      <w:pPr>
        <w:pStyle w:val="Normal"/>
        <w:spacing w:lineRule="auto" w:line="360"/>
        <w:jc w:val="center"/>
        <w:rPr>
          <w:rFonts w:ascii="Arial" w:hAnsi="Arial" w:cs="Arial"/>
          <w:b/>
          <w:b/>
          <w:sz w:val="30"/>
          <w:szCs w:val="30"/>
        </w:rPr>
      </w:pPr>
      <w:r>
        <w:rPr>
          <w:rFonts w:cs="Arial" w:ascii="Arial" w:hAnsi="Arial"/>
          <w:b/>
          <w:sz w:val="30"/>
          <w:szCs w:val="30"/>
        </w:rPr>
        <w:t>w dniu 20.04.2026 r.</w:t>
      </w:r>
    </w:p>
    <w:p>
      <w:pPr>
        <w:pStyle w:val="Normal"/>
        <w:rPr>
          <w:rFonts w:ascii="Arial" w:hAnsi="Arial" w:cs="Arial"/>
          <w:b/>
          <w:b/>
          <w:sz w:val="28"/>
          <w:szCs w:val="28"/>
        </w:rPr>
      </w:pPr>
      <w:r>
        <w:rPr>
          <w:rFonts w:cs="Arial" w:ascii="Arial" w:hAnsi="Arial"/>
          <w:b/>
          <w:sz w:val="28"/>
          <w:szCs w:val="28"/>
        </w:rPr>
      </w:r>
    </w:p>
    <w:p>
      <w:pPr>
        <w:pStyle w:val="Normal"/>
        <w:rPr>
          <w:rFonts w:ascii="Arial" w:hAnsi="Arial" w:cs="Arial"/>
          <w:b/>
          <w:b/>
          <w:sz w:val="28"/>
          <w:szCs w:val="28"/>
        </w:rPr>
      </w:pPr>
      <w:r>
        <w:rPr>
          <w:rFonts w:cs="Arial" w:ascii="Arial" w:hAnsi="Arial"/>
          <w:b/>
          <w:sz w:val="28"/>
          <w:szCs w:val="28"/>
        </w:rPr>
      </w:r>
    </w:p>
    <w:p>
      <w:pPr>
        <w:pStyle w:val="Normal"/>
        <w:rPr>
          <w:b/>
          <w:b/>
          <w:sz w:val="28"/>
          <w:szCs w:val="28"/>
        </w:rPr>
      </w:pPr>
      <w:r>
        <w:rPr>
          <w:b/>
          <w:sz w:val="28"/>
          <w:szCs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spacing w:lineRule="auto" w:line="360"/>
        <w:ind w:left="360" w:right="0" w:hanging="218"/>
        <w:rPr>
          <w:rFonts w:ascii="Arial" w:hAnsi="Arial" w:cs="Arial"/>
          <w:b/>
          <w:b/>
        </w:rPr>
      </w:pPr>
      <w:r>
        <w:rPr>
          <w:rFonts w:cs="Arial" w:ascii="Arial" w:hAnsi="Arial"/>
          <w:b/>
        </w:rPr>
        <w:t>Analiza funkcjonowania komunikacji miejskiej na terenie Sosnowca.</w:t>
      </w:r>
    </w:p>
    <w:p>
      <w:pPr>
        <w:pStyle w:val="Normal"/>
        <w:spacing w:lineRule="auto" w:line="360"/>
        <w:rPr>
          <w:rFonts w:ascii="Arial" w:hAnsi="Arial" w:cs="Arial"/>
          <w:b/>
          <w:b/>
        </w:rPr>
      </w:pPr>
      <w:r>
        <w:rPr>
          <w:rFonts w:cs="Arial" w:ascii="Arial" w:hAnsi="Arial"/>
          <w:b/>
        </w:rPr>
      </w:r>
    </w:p>
    <w:p>
      <w:pPr>
        <w:pStyle w:val="Normal"/>
        <w:spacing w:lineRule="auto" w:line="360"/>
        <w:ind w:left="284" w:right="0" w:firstLine="424"/>
        <w:jc w:val="both"/>
        <w:rPr>
          <w:rFonts w:ascii="Arial" w:hAnsi="Arial" w:cs="Arial"/>
        </w:rPr>
      </w:pPr>
      <w:r>
        <w:rPr>
          <w:rFonts w:cs="Arial" w:ascii="Arial" w:hAnsi="Arial"/>
        </w:rPr>
        <w:t>W 2025 r. Spółka wykonała około 18 mln wozokilometrów, obsługując 68 linii komunikacyjnych. Analizując zarówno ilość wykonanych wozokilometrów, jak i też ilość obsługiwanych linii, Spółka nadal jest jednym z największych przewoźników świadczących usługi przewozowe na rzecz Górnośląsko-Zagłębiowskiej Metropolii. Zestawiając pracę przewozową w 2025 r. z pracą przewozową wykonaną na przestrzeni ostatnich lat, należy stwierdzić, że praca ta utrzymuje się na podobnym stabilnym poziomie. Analogicznie przedstawia się sprawa wskaźnika wykonania planu wozokilometrów, który Spółka realizuje na bardzo wysokim poziomie. Zarówno w roku 2025 jak i w latach poprzednich, wskaźnik ten utrzymywał się na poziomie 99,9% i nadal utrzymuje się na takim poziomie, co świadczy, że Spółka jest jednym z najbardziej niezawodnych przewoźników na terenie aglomeracji.</w:t>
      </w:r>
    </w:p>
    <w:p>
      <w:pPr>
        <w:pStyle w:val="Normal"/>
        <w:spacing w:lineRule="auto" w:line="360"/>
        <w:ind w:left="284" w:right="0" w:firstLine="424"/>
        <w:jc w:val="both"/>
        <w:rPr>
          <w:rFonts w:ascii="Arial" w:hAnsi="Arial" w:cs="Arial"/>
        </w:rPr>
      </w:pPr>
      <w:r>
        <w:rPr>
          <w:rFonts w:cs="Arial" w:ascii="Arial" w:hAnsi="Arial"/>
        </w:rPr>
      </w:r>
    </w:p>
    <w:p>
      <w:pPr>
        <w:pStyle w:val="Normal"/>
        <w:spacing w:lineRule="auto" w:line="360"/>
        <w:ind w:left="284" w:right="0" w:hanging="0"/>
        <w:jc w:val="both"/>
        <w:rPr>
          <w:rFonts w:ascii="Arial" w:hAnsi="Arial" w:cs="Arial"/>
        </w:rPr>
      </w:pPr>
      <w:r>
        <w:rPr>
          <w:rFonts w:cs="Arial" w:ascii="Arial" w:hAnsi="Arial"/>
        </w:rPr>
        <w:t>Poniżej przedstawiamy wykaz linii, które obecnie obsługuje Spółka: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16 Będzin –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18 Dąbrowa Górnicza – Sosnowiec – Mysłowice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24 Będzin – Wojkowice – Bobrowniki – Piekary Śl. – Bytom</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25 Wojkowice – Będzin – Dąbrowa Górnicza </w:t>
      </w:r>
    </w:p>
    <w:p>
      <w:pPr>
        <w:pStyle w:val="NormalnyWeb"/>
        <w:overflowPunct w:val="false"/>
        <w:spacing w:lineRule="auto" w:line="360" w:before="0" w:after="0"/>
        <w:ind w:left="1429" w:right="0" w:hanging="0"/>
        <w:jc w:val="both"/>
        <w:rPr/>
      </w:pPr>
      <w:r>
        <w:rPr>
          <w:rFonts w:eastAsia="Microsoft YaHei" w:cs="Arial" w:ascii="Arial" w:hAnsi="Arial"/>
          <w:color w:val="000000"/>
          <w:kern w:val="2"/>
        </w:rPr>
        <w:t>– </w:t>
      </w:r>
      <w:r>
        <w:rPr>
          <w:rFonts w:eastAsia="Microsoft YaHei" w:cs="Arial" w:ascii="Arial" w:hAnsi="Arial"/>
          <w:b/>
          <w:bCs/>
          <w:i/>
          <w:iCs/>
          <w:color w:val="000000"/>
          <w:kern w:val="2"/>
        </w:rPr>
        <w:t>linia będzie obsługiwana od 01.07.2026 r.</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26 Sosnowiec – Mysłowice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27 Dąbrowa Górnicza – Będzin – Czeladź – Siemianowice Śląskie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28 Będzin – Dąbrowa Górnicza – Sosnowiec</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34 Dąbrowa Górnicza – Sosnowiec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35 Czeladź – Sosnowiec – Mysłowice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40 Będzin – Sosnowiec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42 Będzin – Czeladź – Siemianowice Śl. – Piekary Śl. – Bytom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49 Dąbrowa Górnicza – Sławków</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55 Dąbrowa Górnicza – Sosnowiec</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61 Będzin – Czeladź – Sosnowiec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79 Dąbrowa Górnicza – Psary – Będzin </w:t>
      </w:r>
    </w:p>
    <w:p>
      <w:pPr>
        <w:pStyle w:val="NormalnyWeb"/>
        <w:overflowPunct w:val="false"/>
        <w:spacing w:lineRule="auto" w:line="360" w:before="0" w:after="0"/>
        <w:ind w:left="1429" w:right="0" w:hanging="0"/>
        <w:jc w:val="both"/>
        <w:rPr/>
      </w:pPr>
      <w:r>
        <w:rPr>
          <w:rFonts w:eastAsia="Microsoft YaHei" w:cs="Arial" w:ascii="Arial" w:hAnsi="Arial"/>
          <w:color w:val="000000"/>
          <w:kern w:val="2"/>
        </w:rPr>
        <w:t>–</w:t>
      </w:r>
      <w:r>
        <w:rPr>
          <w:rFonts w:eastAsia="Arial" w:cs="Arial" w:ascii="Arial" w:hAnsi="Arial"/>
          <w:color w:val="000000"/>
          <w:kern w:val="2"/>
        </w:rPr>
        <w:t xml:space="preserve"> </w:t>
      </w:r>
      <w:r>
        <w:rPr>
          <w:rFonts w:eastAsia="Microsoft YaHei" w:cs="Arial" w:ascii="Arial" w:hAnsi="Arial"/>
          <w:b/>
          <w:bCs/>
          <w:i/>
          <w:iCs/>
          <w:color w:val="000000"/>
          <w:kern w:val="2"/>
        </w:rPr>
        <w:t>linia będzie obsługiwana od 01.07.2026 r.</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88 Sosnowiec – Czeladź – Będzin – Wojkowice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90 Sosnowiec – Będzin</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91 Sosnowiec – Katowice – Siemianowice Śl. – Piekary Śl. – Bytom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99 Będzin – Wojkowice – Bobrowniki – Piekary Śl. – Bytom</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100 Sosnowiec – Czeladź – Będzin – Wojkowice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104 Będzin – Psary – Wojkowice – Bobrowniki – Piekary Śl. – Bytom</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106 Sosnowiec – Mysłowice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116 Sosnowiec – Będzin –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150 Sosnowiec – Mysłowice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160 Sosnowiec – Mysłowice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160S Sosnowiec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182 Sosnowiec –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188 Sosnowiec</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220 Sosnowiec – Jaworzno</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235 Będzin – Sosnowiec – Czeladź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260 Sosnowiec – Będzin –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269 Będzin – Psary – Siewierz – Mierzęcice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299 Sosnowiec</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603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604 Dąbrowa Górnicza – Będzin</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606 Dąbrowa Górnicza – Sosnowiec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616 Będzin – Sosnowiec</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622 Sosnowiec</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624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629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638 Dąbrowa Górnicza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644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656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690 Dąbrowa Górnicza – Sosnowiec</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716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723 Sosnowiec – Czeladź</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800 Będzin – Czeladź – Sosnowiec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805 Sosnowiec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807 Dąbrowa Górnicza – Będzin – Sosnowiec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808 Dąbrowa Górnicza – Sosnowiec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813 Będzin – Sosnowiec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814 Dąbrowa Górnicza – Będzin – Czeladź – Sosnowiec – Katowice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817 Będzin – Sosnowiec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835 Sosnowiec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902N Sosnowiec – Dąbrowa Górnicza – Czeladź – Będzin</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903N Sosnowiec –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904N Sosnowiec – Dąbrowa Górnicza – Czeladź – Bobrowniki – Psary – Wojkowice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928 Będzin – Dąbrowa Górnicza – Sosnowiec</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935 Sosnowiec – Mysłowice – Katowice</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949 – Sławków</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959 – Sławków</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C6 Będzin – Sosnowiec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C11 - Czeladź</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C20 – Dąbrowa Górnicza</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M2 Dąbrowa Górnicza – Sosnowiec – Katowice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 xml:space="preserve">M4 Sosnowiec – Katowice </w:t>
      </w:r>
    </w:p>
    <w:p>
      <w:pPr>
        <w:pStyle w:val="NormalnyWeb"/>
        <w:numPr>
          <w:ilvl w:val="0"/>
          <w:numId w:val="1"/>
        </w:numPr>
        <w:overflowPunct w:val="false"/>
        <w:spacing w:lineRule="auto" w:line="360" w:before="0" w:after="0"/>
        <w:jc w:val="both"/>
        <w:rPr>
          <w:rFonts w:ascii="Arial" w:hAnsi="Arial" w:eastAsia="Microsoft YaHei" w:cs="Arial"/>
          <w:color w:val="000000"/>
          <w:kern w:val="2"/>
        </w:rPr>
      </w:pPr>
      <w:r>
        <w:rPr>
          <w:rFonts w:eastAsia="Microsoft YaHei" w:cs="Arial" w:ascii="Arial" w:hAnsi="Arial"/>
          <w:color w:val="000000"/>
          <w:kern w:val="2"/>
        </w:rPr>
        <w:t>AP  Katowice – Sosnowiec – Będzin – Psary – Siewierz – Mierzęcice – Ożarowice (Lotnisko)</w:t>
      </w:r>
    </w:p>
    <w:p>
      <w:pPr>
        <w:pStyle w:val="NormalnyWeb"/>
        <w:numPr>
          <w:ilvl w:val="0"/>
          <w:numId w:val="1"/>
        </w:numPr>
        <w:overflowPunct w:val="false"/>
        <w:spacing w:lineRule="auto" w:line="360" w:before="0" w:after="0"/>
        <w:jc w:val="both"/>
        <w:rPr/>
      </w:pPr>
      <w:r>
        <w:rPr>
          <w:rFonts w:eastAsia="Arial" w:cs="Arial" w:ascii="Arial" w:hAnsi="Arial"/>
          <w:color w:val="000000"/>
          <w:kern w:val="2"/>
        </w:rPr>
        <w:t xml:space="preserve"> </w:t>
      </w:r>
      <w:r>
        <w:rPr>
          <w:rFonts w:eastAsia="Microsoft YaHei" w:cs="Arial" w:ascii="Arial" w:hAnsi="Arial"/>
          <w:color w:val="000000"/>
          <w:kern w:val="2"/>
        </w:rPr>
        <w:t>Z45 – Sosnowiec – Katowice.</w:t>
      </w:r>
    </w:p>
    <w:p>
      <w:pPr>
        <w:pStyle w:val="NormalnyWeb"/>
        <w:overflowPunct w:val="false"/>
        <w:spacing w:lineRule="auto" w:line="360" w:before="0" w:after="0"/>
        <w:ind w:left="1429" w:right="0" w:hanging="0"/>
        <w:jc w:val="both"/>
        <w:rPr>
          <w:rFonts w:ascii="Arial" w:hAnsi="Arial" w:eastAsia="Microsoft YaHei" w:cs="Arial"/>
          <w:color w:val="000000"/>
          <w:kern w:val="2"/>
        </w:rPr>
      </w:pPr>
      <w:r>
        <w:rPr>
          <w:rFonts w:eastAsia="Microsoft YaHei" w:cs="Arial" w:ascii="Arial" w:hAnsi="Arial"/>
          <w:color w:val="000000"/>
          <w:kern w:val="2"/>
        </w:rPr>
      </w:r>
    </w:p>
    <w:p>
      <w:pPr>
        <w:pStyle w:val="Normal"/>
        <w:spacing w:lineRule="auto" w:line="360"/>
        <w:ind w:left="284" w:right="0" w:firstLine="424"/>
        <w:jc w:val="both"/>
        <w:rPr>
          <w:rFonts w:ascii="Arial" w:hAnsi="Arial" w:cs="Arial"/>
        </w:rPr>
      </w:pPr>
      <w:r>
        <w:rPr>
          <w:rFonts w:cs="Arial" w:ascii="Arial" w:hAnsi="Arial"/>
        </w:rPr>
        <w:t xml:space="preserve">W celu poprawy komfortu oraz wymiany najstarszych autobusów w 2026 roku planowane jest wdrożenie do eksploatacji 19 autobusów, w tym: 13 autobusów elektrycznych, 5 autobusów  hybrydowych oraz 1 autobusu o napędzie diesla; 6 z tych autobusów (5 elektrycznych oraz 1 o napędzie diesla) zostało w marcu wdrożonych do eksploatacji zastępując autobusy najstarsze.  </w:t>
      </w:r>
    </w:p>
    <w:p>
      <w:pPr>
        <w:pStyle w:val="Normal"/>
        <w:spacing w:lineRule="auto" w:line="360"/>
        <w:ind w:left="284" w:right="0" w:firstLine="424"/>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numPr>
          <w:ilvl w:val="0"/>
          <w:numId w:val="2"/>
        </w:numPr>
        <w:spacing w:lineRule="auto" w:line="360"/>
        <w:ind w:left="360" w:right="0" w:hanging="218"/>
        <w:jc w:val="both"/>
        <w:rPr>
          <w:rFonts w:ascii="Arial" w:hAnsi="Arial" w:cs="Arial"/>
          <w:b/>
          <w:b/>
          <w:bCs/>
        </w:rPr>
      </w:pPr>
      <w:r>
        <w:rPr>
          <w:rFonts w:cs="Arial" w:ascii="Arial" w:hAnsi="Arial"/>
          <w:b/>
          <w:bCs/>
        </w:rPr>
        <w:t>Aktualna współpraca z organizatorami transportu zbiorowego.</w:t>
      </w:r>
    </w:p>
    <w:p>
      <w:pPr>
        <w:pStyle w:val="Normal"/>
        <w:spacing w:lineRule="auto" w:line="360"/>
        <w:ind w:left="360" w:right="0" w:hanging="0"/>
        <w:jc w:val="both"/>
        <w:rPr>
          <w:rFonts w:ascii="Arial" w:hAnsi="Arial" w:cs="Arial"/>
        </w:rPr>
      </w:pPr>
      <w:r>
        <w:rPr>
          <w:rFonts w:cs="Arial" w:ascii="Arial" w:hAnsi="Arial"/>
        </w:rPr>
        <w:t>Spółka w sposób ciągły, na bieżąco współpracuje z Górnośląsko-Zagłębiowską Metropolią w zakresie kształtowania siatki połączeń, zmian w funkcjonowaniu obecnie obsługiwanych linii komunikacyjnych oraz uruchamiania nowych linii oraz wszędzie tam gdzie jest to możliwe, Spółka stara się wypracować najlepsze rozwiązania z punktu widzenia pasażera jak i interesów Spółki.</w:t>
      </w:r>
    </w:p>
    <w:p>
      <w:pPr>
        <w:pStyle w:val="Normal"/>
        <w:spacing w:lineRule="auto" w:line="360"/>
        <w:ind w:left="360" w:right="0" w:hanging="0"/>
        <w:jc w:val="both"/>
        <w:rPr>
          <w:rFonts w:ascii="Arial" w:hAnsi="Arial" w:cs="Arial"/>
        </w:rPr>
      </w:pPr>
      <w:r>
        <w:rPr>
          <w:rFonts w:cs="Arial" w:ascii="Arial" w:hAnsi="Arial"/>
        </w:rPr>
        <w:t xml:space="preserve">Nie mniej jednak, nie zawsze udaje się wypracować optymalne rozwiązania. </w:t>
      </w:r>
    </w:p>
    <w:p>
      <w:pPr>
        <w:pStyle w:val="Normal"/>
        <w:spacing w:lineRule="auto" w:line="360"/>
        <w:ind w:left="360" w:right="0" w:hanging="0"/>
        <w:jc w:val="both"/>
        <w:rPr>
          <w:rFonts w:ascii="Arial" w:hAnsi="Arial" w:cs="Arial"/>
        </w:rPr>
      </w:pPr>
      <w:r>
        <w:rPr>
          <w:rFonts w:cs="Arial" w:ascii="Arial" w:hAnsi="Arial"/>
        </w:rPr>
        <w:t xml:space="preserve">Tematem, którego nie możemy pominąć jest aktualna sytuacja na rynku paliw i występowanie bardzo wysokich cen zakupu oleju napędowego, które w przypadku Spółki przełożyły się na skokowy wzrost kosztów funkcjonowania Spółki. Szacujemy, że miesięcznie, koszty te wzrosną od 900 000,00 zł do 1 200 000,00 zł. W związku z tym, Spółka wystąpiła do GZM o podjęcie rozmów w celu zapewnienia środków na tę „nadzwyczajną sytuację” . </w:t>
      </w:r>
    </w:p>
    <w:sectPr>
      <w:footerReference w:type="default" r:id="rId3"/>
      <w:type w:val="nextPage"/>
      <w:pgSz w:w="11906" w:h="16838"/>
      <w:pgMar w:left="1134" w:right="1134" w:header="0" w:top="1134" w:footer="709"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ourier New">
    <w:charset w:val="ee"/>
    <w:family w:val="modern"/>
    <w:pitch w:val="default"/>
  </w:font>
  <w:font w:name="Wingdings">
    <w:charset w:val="02"/>
    <w:family w:val="auto"/>
    <w:pitch w:val="variable"/>
  </w:font>
  <w:font w:name="Liberation Sans">
    <w:altName w:val="Arial"/>
    <w:charset w:val="ee"/>
    <w:family w:val="swiss"/>
    <w:pitch w:val="variable"/>
  </w:font>
  <w:font w:name="Calibri">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ind w:left="0" w:right="360" w:hanging="0"/>
      <w:rPr/>
    </w:pPr>
    <w:r>
      <w:rPr/>
    </w:r>
    <w:r>
      <mc:AlternateContent>
        <mc:Choice Requires="wps">
          <w:drawing>
            <wp:anchor behindDoc="0" distT="0" distB="0" distL="0" distR="0" simplePos="0" locked="0" layoutInCell="1" allowOverlap="1" relativeHeight="7">
              <wp:simplePos x="0" y="0"/>
              <wp:positionH relativeFrom="page">
                <wp:posOffset>6763385</wp:posOffset>
              </wp:positionH>
              <wp:positionV relativeFrom="paragraph">
                <wp:posOffset>635</wp:posOffset>
              </wp:positionV>
              <wp:extent cx="74295" cy="172720"/>
              <wp:effectExtent l="0" t="0" r="0" b="0"/>
              <wp:wrapSquare wrapText="largest"/>
              <wp:docPr id="2" name="Ramka1"/>
              <a:graphic xmlns:a="http://schemas.openxmlformats.org/drawingml/2006/main">
                <a:graphicData uri="http://schemas.microsoft.com/office/word/2010/wordprocessingShape">
                  <wps:wsp>
                    <wps:cNvSpPr txBox="1"/>
                    <wps:spPr>
                      <a:xfrm>
                        <a:off x="0" y="0"/>
                        <a:ext cx="74295" cy="172720"/>
                      </a:xfrm>
                      <a:prstGeom prst="rect"/>
                      <a:solidFill>
                        <a:srgbClr val="FFFFFF"/>
                      </a:solidFill>
                    </wps:spPr>
                    <wps:txbx>
                      <w:txbxContent>
                        <w:p>
                          <w:pPr>
                            <w:pStyle w:val="Stopka"/>
                            <w:rPr/>
                          </w:pPr>
                          <w:r>
                            <w:rPr/>
                          </w:r>
                        </w:p>
                      </w:txbxContent>
                    </wps:txbx>
                    <wps:bodyPr anchor="t" lIns="1270" tIns="1270" rIns="1270" bIns="1270">
                      <a:noAutofit/>
                    </wps:bodyPr>
                  </wps:wsp>
                </a:graphicData>
              </a:graphic>
            </wp:anchor>
          </w:drawing>
        </mc:Choice>
        <mc:Fallback>
          <w:pict>
            <v:rect fillcolor="#FFFFFF" style="position:absolute;rotation:0;width:5.85pt;height:13.6pt;margin-top:0.05pt;mso-position-vertical-relative:text;margin-left:532.55pt;mso-position-horizontal-relative:page">
              <v:textbox inset="0.00138888888888889in,0.00138888888888889in,0.00138888888888889in,0.00138888888888889in">
                <w:txbxContent>
                  <w:p>
                    <w:pPr>
                      <w:pStyle w:val="Stopka"/>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429" w:hanging="360"/>
      </w:pPr>
      <w:rPr>
        <w:kern w:val="2"/>
        <w:rFonts w:ascii="Arial" w:hAnsi="Arial" w:eastAsia="Microsoft YaHei" w:cs="Arial"/>
      </w:rPr>
    </w:lvl>
  </w:abstractNum>
  <w:abstractNum w:abstractNumId="2">
    <w:lvl w:ilvl="0">
      <w:start w:val="1"/>
      <w:numFmt w:val="upperRoman"/>
      <w:lvlText w:val="%1."/>
      <w:lvlJc w:val="right"/>
      <w:pPr>
        <w:tabs>
          <w:tab w:val="num" w:pos="708"/>
        </w:tabs>
        <w:ind w:left="360" w:hanging="360"/>
      </w:pPr>
      <w:rPr>
        <w:b/>
        <w:bCs/>
        <w:rFonts w:ascii="Arial" w:hAnsi="Arial" w:cs="Aria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pl-PL"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pl-PL" w:eastAsia="zh-CN" w:bidi="ar-SA"/>
    </w:rPr>
  </w:style>
  <w:style w:type="character" w:styleId="WW8Num1z0">
    <w:name w:val="WW8Num1z0"/>
    <w:qFormat/>
    <w:rPr>
      <w:rFonts w:ascii="Arial" w:hAnsi="Arial" w:eastAsia="Microsoft YaHei" w:cs="Arial"/>
      <w:kern w:val="2"/>
    </w:rPr>
  </w:style>
  <w:style w:type="character" w:styleId="WW8Num2z0">
    <w:name w:val="WW8Num2z0"/>
    <w:qFormat/>
    <w:rPr>
      <w:rFonts w:ascii="Arial" w:hAnsi="Arial" w:cs="Arial"/>
      <w:b/>
      <w:bC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4z0">
    <w:name w:val="WW8Num4z0"/>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Arial" w:hAnsi="Arial" w:eastAsia="Microsoft YaHei" w:cs="Arial"/>
      <w:kern w:val="2"/>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b/>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Arial" w:hAnsi="Arial" w:cs="Arial"/>
      <w:b/>
      <w:bCs/>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b/>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b/>
      <w:bCs/>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Domylnaczcionkaakapitu">
    <w:name w:val="Domyślna czcionka akapitu"/>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8Num9z2">
    <w:name w:val="WW8Num9z2"/>
    <w:qFormat/>
    <w:rPr>
      <w:b/>
    </w:rPr>
  </w:style>
  <w:style w:type="character" w:styleId="Domylnaczcionkaakapitu1">
    <w:name w:val="Domyślna czcionka akapitu1"/>
    <w:qFormat/>
    <w:rPr/>
  </w:style>
  <w:style w:type="character" w:styleId="Numerstron">
    <w:name w:val="Numer stron"/>
    <w:basedOn w:val="Domylnaczcionkaakapitu1"/>
    <w:rPr/>
  </w:style>
  <w:style w:type="character" w:styleId="Znakinumeracji">
    <w:name w:val="Znaki numeracji"/>
    <w:qFormat/>
    <w:rPr/>
  </w:style>
  <w:style w:type="paragraph" w:styleId="Nagwek">
    <w:name w:val="Nagłówek"/>
    <w:basedOn w:val="Normal"/>
    <w:next w:val="Tretekstu"/>
    <w:qFormat/>
    <w:pPr>
      <w:keepNext/>
      <w:spacing w:before="240" w:after="120"/>
    </w:pPr>
    <w:rPr>
      <w:rFonts w:ascii="Liberation Sans;Arial" w:hAnsi="Liberation Sans;Arial" w:eastAsia="Microsoft YaHei" w:cs="Lucida Sans"/>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Mangal"/>
    </w:rPr>
  </w:style>
  <w:style w:type="paragraph" w:styleId="Nagwek1">
    <w:name w:val="Nagłówek1"/>
    <w:basedOn w:val="Normal"/>
    <w:next w:val="Tretekstu"/>
    <w:qFormat/>
    <w:pPr>
      <w:keepNext/>
      <w:spacing w:before="240" w:after="120"/>
    </w:pPr>
    <w:rPr>
      <w:rFonts w:ascii="Arial" w:hAnsi="Arial" w:eastAsia="Microsoft YaHei" w:cs="Mangal"/>
      <w:sz w:val="28"/>
      <w:szCs w:val="28"/>
    </w:rPr>
  </w:style>
  <w:style w:type="paragraph" w:styleId="Podpis1">
    <w:name w:val="Podpis1"/>
    <w:basedOn w:val="Normal"/>
    <w:qFormat/>
    <w:pPr>
      <w:suppressLineNumbers/>
      <w:spacing w:before="120" w:after="120"/>
    </w:pPr>
    <w:rPr>
      <w:rFonts w:cs="Mangal"/>
      <w:i/>
      <w:iCs/>
      <w:sz w:val="24"/>
      <w:szCs w:val="24"/>
    </w:rPr>
  </w:style>
  <w:style w:type="paragraph" w:styleId="Stopka">
    <w:name w:val="Footer"/>
    <w:basedOn w:val="Normal"/>
    <w:pPr>
      <w:tabs>
        <w:tab w:val="center" w:pos="4536" w:leader="none"/>
        <w:tab w:val="right" w:pos="9072" w:leader="none"/>
      </w:tabs>
    </w:pPr>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 w:type="paragraph" w:styleId="Zawartoramki">
    <w:name w:val="Zawartość ramki"/>
    <w:basedOn w:val="Tretekstu"/>
    <w:qFormat/>
    <w:pPr/>
    <w:rPr/>
  </w:style>
  <w:style w:type="paragraph" w:styleId="Gwka">
    <w:name w:val="Header"/>
    <w:basedOn w:val="Normal"/>
    <w:pPr>
      <w:suppressLineNumbers/>
      <w:tabs>
        <w:tab w:val="center" w:pos="4819" w:leader="none"/>
        <w:tab w:val="right" w:pos="9638" w:leader="none"/>
      </w:tabs>
    </w:pPr>
    <w:rPr/>
  </w:style>
  <w:style w:type="paragraph" w:styleId="Akapitzlist">
    <w:name w:val="Akapit z listą"/>
    <w:basedOn w:val="Normal"/>
    <w:qFormat/>
    <w:pPr>
      <w:suppressAutoHyphens w:val="false"/>
      <w:spacing w:before="0" w:after="0"/>
      <w:ind w:left="720" w:right="0" w:hanging="0"/>
      <w:contextualSpacing/>
    </w:pPr>
    <w:rPr>
      <w:rFonts w:ascii="Calibri" w:hAnsi="Calibri" w:eastAsia="Calibri" w:cs="Calibri"/>
      <w:sz w:val="22"/>
      <w:szCs w:val="22"/>
    </w:rPr>
  </w:style>
  <w:style w:type="paragraph" w:styleId="NormalnyWeb">
    <w:name w:val="Normalny (Web)"/>
    <w:basedOn w:val="Normal"/>
    <w:qFormat/>
    <w:pPr>
      <w:suppressAutoHyphens w:val="false"/>
      <w:spacing w:before="280" w:after="28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1065</TotalTime>
  <Application>LibreOffice/5.4.1.2$Windows_x86 LibreOffice_project/ea7cb86e6eeb2bf3a5af73a8f7777ac570321527</Application>
  <Pages>7</Pages>
  <Words>704</Words>
  <Characters>4358</Characters>
  <CharactersWithSpaces>5055</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2014-08-26T09:28:00Z</dcterms:created>
  <dc:creator>Tadek</dc:creator>
  <dc:description/>
  <dc:language>pl-PL</dc:language>
  <cp:lastModifiedBy>bkuznowicz</cp:lastModifiedBy>
  <cp:lastPrinted>2026-04-09T12:39:00Z</cp:lastPrinted>
  <dcterms:modified xsi:type="dcterms:W3CDTF">2026-04-09T12:41:00Z</dcterms:modified>
  <cp:revision>40</cp:revision>
  <dc:subject/>
  <dc:title>Sosnowiec 01</dc:title>
</cp:coreProperties>
</file>