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2" w14:textId="356971B2" w:rsidR="0008255A" w:rsidRPr="00DD109F" w:rsidRDefault="00000000" w:rsidP="00DD109F">
      <w:pPr>
        <w:keepLines/>
        <w:spacing w:line="240" w:lineRule="auto"/>
        <w:jc w:val="center"/>
        <w:rPr>
          <w:rFonts w:ascii="Open Sans" w:eastAsia="Open Sans" w:hAnsi="Open Sans" w:cs="Open Sans"/>
          <w:b/>
          <w:bCs/>
          <w:color w:val="4F81BD"/>
          <w:sz w:val="26"/>
          <w:szCs w:val="26"/>
        </w:rPr>
      </w:pPr>
      <w:r w:rsidRPr="00DD109F">
        <w:rPr>
          <w:rFonts w:ascii="Open Sans" w:eastAsia="Open Sans" w:hAnsi="Open Sans" w:cs="Open Sans"/>
          <w:b/>
          <w:bCs/>
          <w:color w:val="4F81BD"/>
          <w:sz w:val="26"/>
          <w:szCs w:val="26"/>
        </w:rPr>
        <w:t xml:space="preserve">Informacja dotycząca gospodarki mieszkaniowej realizowanej przez </w:t>
      </w:r>
      <w:r w:rsidR="00DD109F">
        <w:rPr>
          <w:rFonts w:ascii="Open Sans" w:eastAsia="Open Sans" w:hAnsi="Open Sans" w:cs="Open Sans"/>
          <w:b/>
          <w:bCs/>
          <w:color w:val="4F81BD"/>
          <w:sz w:val="26"/>
          <w:szCs w:val="26"/>
        </w:rPr>
        <w:t xml:space="preserve"> </w:t>
      </w:r>
      <w:r w:rsidRPr="00DD109F">
        <w:rPr>
          <w:rFonts w:ascii="Open Sans" w:eastAsia="Open Sans" w:hAnsi="Open Sans" w:cs="Open Sans"/>
          <w:b/>
          <w:bCs/>
          <w:color w:val="4F81BD"/>
          <w:sz w:val="26"/>
          <w:szCs w:val="26"/>
        </w:rPr>
        <w:t>SIM Zagłębie sp. z o.o.</w:t>
      </w:r>
    </w:p>
    <w:p w14:paraId="00000004" w14:textId="77777777" w:rsidR="0008255A" w:rsidRDefault="00000000">
      <w:pPr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SIM Zagłębie sp. z o.o. została powołana w celu realizacji społecznego budownictwa czynszowego, obejmującego budowę i eksploatację mieszkań przeznaczonych dla osób o umiarkowanych dochodach, które nie posiadają zdolności kredytowej umożliwiającej zakup mieszkania na rynku komercyjnym.</w:t>
      </w:r>
    </w:p>
    <w:p w14:paraId="00000005" w14:textId="77777777" w:rsidR="0008255A" w:rsidRDefault="00000000">
      <w:pPr>
        <w:pStyle w:val="Nagwek1"/>
        <w:jc w:val="both"/>
        <w:rPr>
          <w:rFonts w:ascii="Open Sans" w:eastAsia="Open Sans" w:hAnsi="Open Sans" w:cs="Open Sans"/>
          <w:color w:val="000000"/>
          <w:sz w:val="22"/>
          <w:szCs w:val="22"/>
        </w:rPr>
      </w:pPr>
      <w:r>
        <w:rPr>
          <w:rFonts w:ascii="Open Sans" w:eastAsia="Open Sans" w:hAnsi="Open Sans" w:cs="Open Sans"/>
          <w:color w:val="000000"/>
          <w:sz w:val="22"/>
          <w:szCs w:val="22"/>
        </w:rPr>
        <w:t>1. Inwestycja zakończona – Sosnowiec, ulica mjr Henryka Hubala-Dobrzańskiego 156–156A.</w:t>
      </w:r>
    </w:p>
    <w:p w14:paraId="00000007" w14:textId="5B29AB67" w:rsidR="0008255A" w:rsidRDefault="00DD109F">
      <w:pPr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br/>
        <w:t>Inwestycja została zrealizowana jako przedsięwzięcie nr 1 SIM Zagłębie sp. z o.o. Na nieruchomości wniesionej aportem przez Krajowy Zasób Nieruchomości powstały 94 lokale mieszkalne.</w:t>
      </w:r>
    </w:p>
    <w:p w14:paraId="00000008" w14:textId="77777777" w:rsidR="0008255A" w:rsidRDefault="00000000">
      <w:pPr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Realizacja inwestycji została sfinansowana przy wykorzystaniu:</w:t>
      </w:r>
    </w:p>
    <w:p w14:paraId="00000009" w14:textId="77777777" w:rsidR="0008255A" w:rsidRDefault="00000000">
      <w:pPr>
        <w:numPr>
          <w:ilvl w:val="0"/>
          <w:numId w:val="1"/>
        </w:numPr>
        <w:spacing w:after="160" w:line="259" w:lineRule="auto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preferencyjnego kredytu SBC BGK w wysokości 16 333 415 zł, </w:t>
      </w:r>
    </w:p>
    <w:p w14:paraId="0000000A" w14:textId="77777777" w:rsidR="0008255A" w:rsidRDefault="00000000">
      <w:pPr>
        <w:numPr>
          <w:ilvl w:val="0"/>
          <w:numId w:val="1"/>
        </w:numPr>
        <w:spacing w:after="160" w:line="259" w:lineRule="auto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wsparcia z Rządowego Funduszu Rozwoju Mieszkalnictwa w wysokości 4 736 203,39 zł, </w:t>
      </w:r>
    </w:p>
    <w:p w14:paraId="0000000B" w14:textId="77777777" w:rsidR="0008255A" w:rsidRDefault="00000000">
      <w:pPr>
        <w:numPr>
          <w:ilvl w:val="0"/>
          <w:numId w:val="1"/>
        </w:numPr>
        <w:spacing w:after="160" w:line="259" w:lineRule="auto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środków Funduszu Dopłat w wysokości 13 760 463,62 zł, </w:t>
      </w:r>
    </w:p>
    <w:p w14:paraId="0000000C" w14:textId="77777777" w:rsidR="0008255A" w:rsidRDefault="00000000">
      <w:pPr>
        <w:numPr>
          <w:ilvl w:val="0"/>
          <w:numId w:val="1"/>
        </w:numPr>
        <w:spacing w:after="160" w:line="259" w:lineRule="auto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partycypacji przyszłych najemców w wysokości 9 017 452,35 zł. </w:t>
      </w:r>
    </w:p>
    <w:p w14:paraId="0000000D" w14:textId="77777777" w:rsidR="0008255A" w:rsidRDefault="00000000">
      <w:pPr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Inwestycja została ukończona i znajduje się w fazie eksploatacji oraz zarządzania przez SIM Zagłębie sp. z o.o. </w:t>
      </w:r>
    </w:p>
    <w:p w14:paraId="0000000E" w14:textId="77777777" w:rsidR="0008255A" w:rsidRDefault="00000000">
      <w:pPr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Każdy lokal mieszkalny posiada przypisaną komórkę lokatorską. Na dzień sporządzenia niniejszej informacji wszystkie lokale mieszkalne zostały zasiedlone, co potwierdza pełne wykorzystanie zasobu mieszkaniowego inwestycji.</w:t>
      </w:r>
    </w:p>
    <w:p w14:paraId="1125F3EF" w14:textId="77777777" w:rsidR="00DD109F" w:rsidRDefault="00000000">
      <w:pPr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W budynku funkcjonuje kotłownia w układzie hybrydowym wykorzystującą odnawialne źródło ciepła - powietrzne pompy ciepła zasilane z paneli PV wspomagane okresowo piecami gazowymi. Takie rozwiązanie zapewnia wysoki stopień wykorzystania odnawialnej energii słonecznej wykorzystanej do zasilania zasobników ciepłej wody użytkowej.</w:t>
      </w:r>
    </w:p>
    <w:p w14:paraId="16375A7A" w14:textId="77777777" w:rsidR="00DD109F" w:rsidRDefault="00000000">
      <w:pPr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W okresie grzewczym szczytowym źródłem ciepła pozostają powietrzne pompy ciepła zasilane z sieci energetycznej dodatkowo wspomagane szczytowym źródłem    </w:t>
      </w:r>
    </w:p>
    <w:p w14:paraId="0000000F" w14:textId="68A17CA3" w:rsidR="0008255A" w:rsidRDefault="00000000">
      <w:pPr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lastRenderedPageBreak/>
        <w:t xml:space="preserve">z kotłowni gazowej. W celu zapewnienie prawidłowej wentylacji pomieszczeń zastosowano wentylatory wywiewne wyposażone w czujniki higrosterowane. </w:t>
      </w:r>
    </w:p>
    <w:p w14:paraId="00000010" w14:textId="77777777" w:rsidR="0008255A" w:rsidRDefault="00000000">
      <w:pPr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Budynek został zaprojektowany i wykończony zgodnie ze standardami określonymi                          w rozporządzeniu Ministra Inwestycji i Rozwoju z dnia 4 marca 2019 r. w sprawie standardów dotyczących przestrzennego kształtowania budynku i jego otoczenia, technologii wykonania i wyposażenia technicznego budynku oraz lokalizacji przedsięwzięć realizowanych z wykorzystaniem finansowego wsparcia z Funduszu Dopłat (Dz.U.2019.457 z dnia 2019.03.08).</w:t>
      </w:r>
    </w:p>
    <w:p w14:paraId="00000011" w14:textId="77777777" w:rsidR="0008255A" w:rsidRPr="00DD109F" w:rsidRDefault="00000000">
      <w:pPr>
        <w:pStyle w:val="Nagwek2"/>
        <w:rPr>
          <w:rFonts w:ascii="Open Sans" w:eastAsia="Open Sans" w:hAnsi="Open Sans" w:cs="Open Sans"/>
          <w:color w:val="000000"/>
          <w:sz w:val="22"/>
          <w:szCs w:val="22"/>
        </w:rPr>
      </w:pPr>
      <w:r w:rsidRPr="00DD109F">
        <w:rPr>
          <w:rFonts w:ascii="Open Sans" w:eastAsia="Open Sans" w:hAnsi="Open Sans" w:cs="Open Sans"/>
          <w:color w:val="000000"/>
          <w:sz w:val="22"/>
          <w:szCs w:val="22"/>
        </w:rPr>
        <w:t>Struktura mieszkań według powierzchni użytkowej</w:t>
      </w:r>
    </w:p>
    <w:tbl>
      <w:tblPr>
        <w:tblStyle w:val="a"/>
        <w:tblW w:w="892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96"/>
        <w:gridCol w:w="2835"/>
        <w:gridCol w:w="3402"/>
        <w:gridCol w:w="987"/>
      </w:tblGrid>
      <w:tr w:rsidR="0008255A" w14:paraId="226565F7" w14:textId="77777777" w:rsidTr="00DD109F">
        <w:trPr>
          <w:trHeight w:val="529"/>
        </w:trPr>
        <w:tc>
          <w:tcPr>
            <w:tcW w:w="1696" w:type="dxa"/>
          </w:tcPr>
          <w:p w14:paraId="00000012" w14:textId="77777777" w:rsidR="0008255A" w:rsidRPr="00DD109F" w:rsidRDefault="00000000">
            <w:pPr>
              <w:jc w:val="center"/>
              <w:rPr>
                <w:rFonts w:ascii="Open Sans" w:eastAsia="Open Sans" w:hAnsi="Open Sans" w:cs="Open Sans"/>
                <w:b/>
                <w:bCs/>
              </w:rPr>
            </w:pPr>
            <w:r w:rsidRPr="00DD109F">
              <w:rPr>
                <w:rFonts w:ascii="Open Sans" w:eastAsia="Open Sans" w:hAnsi="Open Sans" w:cs="Open Sans"/>
                <w:b/>
                <w:bCs/>
              </w:rPr>
              <w:t>Kategoria lokali</w:t>
            </w:r>
          </w:p>
        </w:tc>
        <w:tc>
          <w:tcPr>
            <w:tcW w:w="2835" w:type="dxa"/>
          </w:tcPr>
          <w:p w14:paraId="00000013" w14:textId="77777777" w:rsidR="0008255A" w:rsidRPr="00DD109F" w:rsidRDefault="00000000">
            <w:pPr>
              <w:jc w:val="center"/>
              <w:rPr>
                <w:rFonts w:ascii="Open Sans" w:eastAsia="Open Sans" w:hAnsi="Open Sans" w:cs="Open Sans"/>
                <w:b/>
                <w:bCs/>
              </w:rPr>
            </w:pPr>
            <w:r w:rsidRPr="00DD109F">
              <w:rPr>
                <w:rFonts w:ascii="Open Sans" w:eastAsia="Open Sans" w:hAnsi="Open Sans" w:cs="Open Sans"/>
                <w:b/>
                <w:bCs/>
              </w:rPr>
              <w:t>Powierzchnia</w:t>
            </w:r>
          </w:p>
        </w:tc>
        <w:tc>
          <w:tcPr>
            <w:tcW w:w="3402" w:type="dxa"/>
          </w:tcPr>
          <w:p w14:paraId="00000014" w14:textId="77777777" w:rsidR="0008255A" w:rsidRPr="00DD109F" w:rsidRDefault="00000000">
            <w:pPr>
              <w:jc w:val="center"/>
              <w:rPr>
                <w:rFonts w:ascii="Open Sans" w:eastAsia="Open Sans" w:hAnsi="Open Sans" w:cs="Open Sans"/>
                <w:b/>
                <w:bCs/>
              </w:rPr>
            </w:pPr>
            <w:r w:rsidRPr="00DD109F">
              <w:rPr>
                <w:rFonts w:ascii="Open Sans" w:eastAsia="Open Sans" w:hAnsi="Open Sans" w:cs="Open Sans"/>
                <w:b/>
                <w:bCs/>
              </w:rPr>
              <w:t>Charakterystyka</w:t>
            </w:r>
          </w:p>
        </w:tc>
        <w:tc>
          <w:tcPr>
            <w:tcW w:w="987" w:type="dxa"/>
          </w:tcPr>
          <w:p w14:paraId="00000015" w14:textId="77777777" w:rsidR="0008255A" w:rsidRPr="00DD109F" w:rsidRDefault="00000000">
            <w:pPr>
              <w:jc w:val="center"/>
              <w:rPr>
                <w:rFonts w:ascii="Open Sans" w:eastAsia="Open Sans" w:hAnsi="Open Sans" w:cs="Open Sans"/>
                <w:b/>
                <w:bCs/>
              </w:rPr>
            </w:pPr>
            <w:r w:rsidRPr="00DD109F">
              <w:rPr>
                <w:rFonts w:ascii="Open Sans" w:eastAsia="Open Sans" w:hAnsi="Open Sans" w:cs="Open Sans"/>
                <w:b/>
                <w:bCs/>
              </w:rPr>
              <w:t>Liczba lokali</w:t>
            </w:r>
          </w:p>
        </w:tc>
      </w:tr>
      <w:tr w:rsidR="0008255A" w14:paraId="27058A4D" w14:textId="77777777" w:rsidTr="00DD109F">
        <w:trPr>
          <w:trHeight w:val="803"/>
        </w:trPr>
        <w:tc>
          <w:tcPr>
            <w:tcW w:w="1696" w:type="dxa"/>
          </w:tcPr>
          <w:p w14:paraId="00000016" w14:textId="77777777" w:rsidR="0008255A" w:rsidRDefault="00000000">
            <w:pPr>
              <w:jc w:val="both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Małe</w:t>
            </w:r>
          </w:p>
        </w:tc>
        <w:tc>
          <w:tcPr>
            <w:tcW w:w="2835" w:type="dxa"/>
          </w:tcPr>
          <w:p w14:paraId="00000017" w14:textId="77777777" w:rsidR="0008255A" w:rsidRDefault="00000000">
            <w:pPr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od 42,00 m² do 45,99 m²</w:t>
            </w:r>
          </w:p>
        </w:tc>
        <w:tc>
          <w:tcPr>
            <w:tcW w:w="3402" w:type="dxa"/>
          </w:tcPr>
          <w:p w14:paraId="00000018" w14:textId="77777777" w:rsidR="0008255A" w:rsidRDefault="00000000">
            <w:pPr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Najliczniejsza grupa mieszkań – dominują lokale o powierzchni ok. 44–45 m²</w:t>
            </w:r>
          </w:p>
        </w:tc>
        <w:tc>
          <w:tcPr>
            <w:tcW w:w="987" w:type="dxa"/>
          </w:tcPr>
          <w:p w14:paraId="00000019" w14:textId="77777777" w:rsidR="0008255A" w:rsidRDefault="00000000">
            <w:pPr>
              <w:jc w:val="center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47</w:t>
            </w:r>
          </w:p>
        </w:tc>
      </w:tr>
      <w:tr w:rsidR="0008255A" w14:paraId="1A977016" w14:textId="77777777" w:rsidTr="00DD109F">
        <w:trPr>
          <w:trHeight w:val="529"/>
        </w:trPr>
        <w:tc>
          <w:tcPr>
            <w:tcW w:w="1696" w:type="dxa"/>
          </w:tcPr>
          <w:p w14:paraId="0000001A" w14:textId="77777777" w:rsidR="0008255A" w:rsidRDefault="00000000">
            <w:pPr>
              <w:jc w:val="both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Średnie</w:t>
            </w:r>
          </w:p>
        </w:tc>
        <w:tc>
          <w:tcPr>
            <w:tcW w:w="2835" w:type="dxa"/>
          </w:tcPr>
          <w:p w14:paraId="0000001B" w14:textId="77777777" w:rsidR="0008255A" w:rsidRDefault="00000000">
            <w:pPr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od 46,00 m² do 49,99 m²</w:t>
            </w:r>
          </w:p>
        </w:tc>
        <w:tc>
          <w:tcPr>
            <w:tcW w:w="3402" w:type="dxa"/>
          </w:tcPr>
          <w:p w14:paraId="0000001C" w14:textId="77777777" w:rsidR="0008255A" w:rsidRDefault="00000000">
            <w:pPr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Stabilna grupa lokali o średnim metrażu ok. 47,5 m²</w:t>
            </w:r>
          </w:p>
        </w:tc>
        <w:tc>
          <w:tcPr>
            <w:tcW w:w="987" w:type="dxa"/>
          </w:tcPr>
          <w:p w14:paraId="0000001D" w14:textId="77777777" w:rsidR="0008255A" w:rsidRDefault="00000000">
            <w:pPr>
              <w:jc w:val="center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24</w:t>
            </w:r>
          </w:p>
        </w:tc>
      </w:tr>
      <w:tr w:rsidR="0008255A" w14:paraId="3EB3B3BD" w14:textId="77777777" w:rsidTr="00DD109F">
        <w:trPr>
          <w:trHeight w:val="803"/>
        </w:trPr>
        <w:tc>
          <w:tcPr>
            <w:tcW w:w="1696" w:type="dxa"/>
          </w:tcPr>
          <w:p w14:paraId="0000001E" w14:textId="77777777" w:rsidR="0008255A" w:rsidRDefault="00000000">
            <w:pPr>
              <w:jc w:val="both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Duże</w:t>
            </w:r>
          </w:p>
        </w:tc>
        <w:tc>
          <w:tcPr>
            <w:tcW w:w="2835" w:type="dxa"/>
          </w:tcPr>
          <w:p w14:paraId="0000001F" w14:textId="77777777" w:rsidR="0008255A" w:rsidRDefault="00000000">
            <w:pPr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od 58,00 m² do 61,00 m²</w:t>
            </w:r>
          </w:p>
        </w:tc>
        <w:tc>
          <w:tcPr>
            <w:tcW w:w="3402" w:type="dxa"/>
          </w:tcPr>
          <w:p w14:paraId="00000020" w14:textId="77777777" w:rsidR="0008255A" w:rsidRDefault="00000000">
            <w:pPr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Przestronne lokale rodzinne, najczęściej o powierzchni ok. 58,5 m²</w:t>
            </w:r>
          </w:p>
        </w:tc>
        <w:tc>
          <w:tcPr>
            <w:tcW w:w="987" w:type="dxa"/>
          </w:tcPr>
          <w:p w14:paraId="00000021" w14:textId="77777777" w:rsidR="0008255A" w:rsidRDefault="00000000">
            <w:pPr>
              <w:jc w:val="center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21</w:t>
            </w:r>
          </w:p>
        </w:tc>
      </w:tr>
      <w:tr w:rsidR="0008255A" w14:paraId="0F0338E6" w14:textId="77777777" w:rsidTr="00DD109F">
        <w:trPr>
          <w:trHeight w:val="1060"/>
        </w:trPr>
        <w:tc>
          <w:tcPr>
            <w:tcW w:w="1696" w:type="dxa"/>
          </w:tcPr>
          <w:p w14:paraId="00000022" w14:textId="77777777" w:rsidR="0008255A" w:rsidRDefault="00000000">
            <w:pPr>
              <w:jc w:val="both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Bardzo duże</w:t>
            </w:r>
          </w:p>
        </w:tc>
        <w:tc>
          <w:tcPr>
            <w:tcW w:w="2835" w:type="dxa"/>
          </w:tcPr>
          <w:p w14:paraId="00000023" w14:textId="77777777" w:rsidR="0008255A" w:rsidRDefault="00000000">
            <w:pPr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powyżej 80,00 m²</w:t>
            </w:r>
          </w:p>
        </w:tc>
        <w:tc>
          <w:tcPr>
            <w:tcW w:w="3402" w:type="dxa"/>
          </w:tcPr>
          <w:p w14:paraId="00000024" w14:textId="77777777" w:rsidR="0008255A" w:rsidRDefault="00000000">
            <w:pPr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Lokale o największej powierzchni użytkowej – wartości odstające: 84,77 m² oraz 84,61 m²</w:t>
            </w:r>
          </w:p>
        </w:tc>
        <w:tc>
          <w:tcPr>
            <w:tcW w:w="987" w:type="dxa"/>
          </w:tcPr>
          <w:p w14:paraId="00000025" w14:textId="77777777" w:rsidR="0008255A" w:rsidRDefault="00000000">
            <w:pPr>
              <w:jc w:val="center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2</w:t>
            </w:r>
          </w:p>
        </w:tc>
      </w:tr>
    </w:tbl>
    <w:p w14:paraId="00000026" w14:textId="77777777" w:rsidR="0008255A" w:rsidRDefault="0008255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Open Sans" w:eastAsia="Open Sans" w:hAnsi="Open Sans" w:cs="Open Sans"/>
        </w:rPr>
      </w:pPr>
    </w:p>
    <w:tbl>
      <w:tblPr>
        <w:tblStyle w:val="a0"/>
        <w:tblpPr w:leftFromText="141" w:rightFromText="141" w:vertAnchor="text" w:tblpX="-42" w:tblpY="489"/>
        <w:tblW w:w="8928" w:type="dxa"/>
        <w:tblInd w:w="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869"/>
        <w:gridCol w:w="2059"/>
      </w:tblGrid>
      <w:tr w:rsidR="0008255A" w14:paraId="09AA7DDD" w14:textId="77777777" w:rsidTr="00DD109F">
        <w:trPr>
          <w:trHeight w:val="106"/>
        </w:trPr>
        <w:tc>
          <w:tcPr>
            <w:tcW w:w="686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27" w14:textId="7DC9C59E" w:rsidR="0008255A" w:rsidRDefault="00000000" w:rsidP="00DD10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</w:rPr>
            </w:pPr>
            <w:sdt>
              <w:sdtPr>
                <w:tag w:val="goog_rdk_0"/>
                <w:id w:val="1641515445"/>
                <w:showingPlcHdr/>
              </w:sdtPr>
              <w:sdtContent>
                <w:r w:rsidR="00DD109F">
                  <w:t xml:space="preserve">     </w:t>
                </w:r>
              </w:sdtContent>
            </w:sdt>
            <w:r w:rsidRPr="00DD109F">
              <w:rPr>
                <w:rFonts w:ascii="Open Sans" w:eastAsia="Open Sans" w:hAnsi="Open Sans" w:cs="Open Sans"/>
                <w:b/>
                <w:bCs/>
              </w:rPr>
              <w:t>Struktura miejsc postojowych</w:t>
            </w:r>
          </w:p>
        </w:tc>
        <w:tc>
          <w:tcPr>
            <w:tcW w:w="20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28" w14:textId="77777777" w:rsidR="0008255A" w:rsidRPr="00DD109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  <w:b/>
                <w:bCs/>
              </w:rPr>
            </w:pPr>
            <w:r w:rsidRPr="00DD109F">
              <w:rPr>
                <w:rFonts w:ascii="Open Sans" w:eastAsia="Open Sans" w:hAnsi="Open Sans" w:cs="Open Sans"/>
                <w:b/>
                <w:bCs/>
              </w:rPr>
              <w:t>Liczba</w:t>
            </w:r>
          </w:p>
        </w:tc>
      </w:tr>
      <w:tr w:rsidR="0008255A" w14:paraId="016FCBB4" w14:textId="77777777" w:rsidTr="00DD109F">
        <w:trPr>
          <w:trHeight w:val="258"/>
        </w:trPr>
        <w:tc>
          <w:tcPr>
            <w:tcW w:w="686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29" w14:textId="77777777" w:rsidR="000825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</w:rPr>
            </w:pPr>
            <w:sdt>
              <w:sdtPr>
                <w:tag w:val="goog_rdk_1"/>
                <w:id w:val="-843380871"/>
              </w:sdtPr>
              <w:sdtContent/>
            </w:sdt>
            <w:r>
              <w:rPr>
                <w:rFonts w:ascii="Open Sans" w:eastAsia="Open Sans" w:hAnsi="Open Sans" w:cs="Open Sans"/>
              </w:rPr>
              <w:t>Miejsca postojowe dla mieszkańców</w:t>
            </w:r>
          </w:p>
        </w:tc>
        <w:tc>
          <w:tcPr>
            <w:tcW w:w="20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2A" w14:textId="77777777" w:rsidR="000825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115</w:t>
            </w:r>
          </w:p>
        </w:tc>
      </w:tr>
      <w:tr w:rsidR="0008255A" w14:paraId="7AE773C4" w14:textId="77777777" w:rsidTr="00DD109F">
        <w:trPr>
          <w:trHeight w:val="106"/>
        </w:trPr>
        <w:tc>
          <w:tcPr>
            <w:tcW w:w="686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2B" w14:textId="77777777" w:rsidR="000825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</w:rPr>
            </w:pPr>
            <w:sdt>
              <w:sdtPr>
                <w:tag w:val="goog_rdk_2"/>
                <w:id w:val="-1174780142"/>
              </w:sdtPr>
              <w:sdtContent/>
            </w:sdt>
            <w:r>
              <w:rPr>
                <w:rFonts w:ascii="Open Sans" w:eastAsia="Open Sans" w:hAnsi="Open Sans" w:cs="Open Sans"/>
              </w:rPr>
              <w:t xml:space="preserve">Miejsca postojowe dla osób z niepełnosprawnościami </w:t>
            </w:r>
          </w:p>
        </w:tc>
        <w:tc>
          <w:tcPr>
            <w:tcW w:w="20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2C" w14:textId="77777777" w:rsidR="0008255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5</w:t>
            </w:r>
          </w:p>
        </w:tc>
      </w:tr>
    </w:tbl>
    <w:p w14:paraId="0000002D" w14:textId="3622D606" w:rsidR="0008255A" w:rsidRPr="00DD109F" w:rsidRDefault="00000000">
      <w:pPr>
        <w:pStyle w:val="Nagwek2"/>
        <w:rPr>
          <w:rFonts w:ascii="Open Sans" w:eastAsia="Open Sans" w:hAnsi="Open Sans" w:cs="Open Sans"/>
          <w:color w:val="000000"/>
          <w:sz w:val="22"/>
          <w:szCs w:val="22"/>
        </w:rPr>
      </w:pPr>
      <w:r w:rsidRPr="00DD109F">
        <w:rPr>
          <w:rFonts w:ascii="Open Sans" w:eastAsia="Open Sans" w:hAnsi="Open Sans" w:cs="Open Sans"/>
          <w:color w:val="000000"/>
          <w:sz w:val="22"/>
          <w:szCs w:val="22"/>
        </w:rPr>
        <w:t>Obowiązująca stawka czynszu</w:t>
      </w:r>
    </w:p>
    <w:tbl>
      <w:tblPr>
        <w:tblStyle w:val="a1"/>
        <w:tblW w:w="9034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065"/>
        <w:gridCol w:w="1559"/>
        <w:gridCol w:w="2410"/>
      </w:tblGrid>
      <w:tr w:rsidR="0008255A" w14:paraId="703855BB" w14:textId="77777777" w:rsidTr="00DD109F">
        <w:trPr>
          <w:trHeight w:val="307"/>
        </w:trPr>
        <w:tc>
          <w:tcPr>
            <w:tcW w:w="5065" w:type="dxa"/>
          </w:tcPr>
          <w:p w14:paraId="0000002E" w14:textId="77777777" w:rsidR="0008255A" w:rsidRPr="00DD109F" w:rsidRDefault="00000000">
            <w:pPr>
              <w:jc w:val="center"/>
              <w:rPr>
                <w:rFonts w:ascii="Open Sans" w:eastAsia="Open Sans" w:hAnsi="Open Sans" w:cs="Open Sans"/>
                <w:b/>
                <w:bCs/>
              </w:rPr>
            </w:pPr>
            <w:r w:rsidRPr="00DD109F">
              <w:rPr>
                <w:rFonts w:ascii="Open Sans" w:eastAsia="Open Sans" w:hAnsi="Open Sans" w:cs="Open Sans"/>
                <w:b/>
                <w:bCs/>
              </w:rPr>
              <w:t>Składnik czynszu</w:t>
            </w:r>
          </w:p>
        </w:tc>
        <w:tc>
          <w:tcPr>
            <w:tcW w:w="1559" w:type="dxa"/>
          </w:tcPr>
          <w:p w14:paraId="0000002F" w14:textId="77777777" w:rsidR="0008255A" w:rsidRPr="00DD109F" w:rsidRDefault="00000000">
            <w:pPr>
              <w:jc w:val="center"/>
              <w:rPr>
                <w:rFonts w:ascii="Open Sans" w:eastAsia="Open Sans" w:hAnsi="Open Sans" w:cs="Open Sans"/>
                <w:b/>
                <w:bCs/>
              </w:rPr>
            </w:pPr>
            <w:r w:rsidRPr="00DD109F">
              <w:rPr>
                <w:rFonts w:ascii="Open Sans" w:eastAsia="Open Sans" w:hAnsi="Open Sans" w:cs="Open Sans"/>
                <w:b/>
                <w:bCs/>
              </w:rPr>
              <w:t>Stawka</w:t>
            </w:r>
          </w:p>
        </w:tc>
        <w:tc>
          <w:tcPr>
            <w:tcW w:w="2410" w:type="dxa"/>
          </w:tcPr>
          <w:p w14:paraId="00000030" w14:textId="77777777" w:rsidR="0008255A" w:rsidRPr="00DD109F" w:rsidRDefault="00000000">
            <w:pPr>
              <w:jc w:val="center"/>
              <w:rPr>
                <w:rFonts w:ascii="Open Sans" w:eastAsia="Open Sans" w:hAnsi="Open Sans" w:cs="Open Sans"/>
                <w:b/>
                <w:bCs/>
              </w:rPr>
            </w:pPr>
            <w:r w:rsidRPr="00DD109F">
              <w:rPr>
                <w:rFonts w:ascii="Open Sans" w:eastAsia="Open Sans" w:hAnsi="Open Sans" w:cs="Open Sans"/>
                <w:b/>
                <w:bCs/>
              </w:rPr>
              <w:t>Udział procentowy</w:t>
            </w:r>
          </w:p>
        </w:tc>
      </w:tr>
      <w:tr w:rsidR="0008255A" w14:paraId="3C3DD262" w14:textId="77777777" w:rsidTr="00DD109F">
        <w:trPr>
          <w:trHeight w:val="318"/>
        </w:trPr>
        <w:tc>
          <w:tcPr>
            <w:tcW w:w="5065" w:type="dxa"/>
          </w:tcPr>
          <w:p w14:paraId="00000031" w14:textId="77777777" w:rsidR="0008255A" w:rsidRDefault="00000000">
            <w:pPr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Spłata kredytu</w:t>
            </w:r>
          </w:p>
        </w:tc>
        <w:tc>
          <w:tcPr>
            <w:tcW w:w="1559" w:type="dxa"/>
          </w:tcPr>
          <w:p w14:paraId="00000032" w14:textId="77777777" w:rsidR="0008255A" w:rsidRDefault="00000000">
            <w:pPr>
              <w:jc w:val="center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12,95 zł</w:t>
            </w:r>
          </w:p>
        </w:tc>
        <w:tc>
          <w:tcPr>
            <w:tcW w:w="2410" w:type="dxa"/>
          </w:tcPr>
          <w:p w14:paraId="00000033" w14:textId="77777777" w:rsidR="0008255A" w:rsidRDefault="00000000">
            <w:pPr>
              <w:jc w:val="center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57,10%</w:t>
            </w:r>
          </w:p>
        </w:tc>
      </w:tr>
      <w:tr w:rsidR="0008255A" w14:paraId="2ABCBF5D" w14:textId="77777777" w:rsidTr="00DD109F">
        <w:trPr>
          <w:trHeight w:val="307"/>
        </w:trPr>
        <w:tc>
          <w:tcPr>
            <w:tcW w:w="5065" w:type="dxa"/>
          </w:tcPr>
          <w:p w14:paraId="00000034" w14:textId="77777777" w:rsidR="0008255A" w:rsidRDefault="00000000">
            <w:pPr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Koszty utrzymania czystości i konserwacji</w:t>
            </w:r>
          </w:p>
        </w:tc>
        <w:tc>
          <w:tcPr>
            <w:tcW w:w="1559" w:type="dxa"/>
          </w:tcPr>
          <w:p w14:paraId="00000035" w14:textId="77777777" w:rsidR="0008255A" w:rsidRDefault="00000000">
            <w:pPr>
              <w:jc w:val="center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4,53 zł</w:t>
            </w:r>
          </w:p>
        </w:tc>
        <w:tc>
          <w:tcPr>
            <w:tcW w:w="2410" w:type="dxa"/>
          </w:tcPr>
          <w:p w14:paraId="00000036" w14:textId="77777777" w:rsidR="0008255A" w:rsidRDefault="00000000">
            <w:pPr>
              <w:jc w:val="center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19,97%</w:t>
            </w:r>
          </w:p>
        </w:tc>
      </w:tr>
      <w:tr w:rsidR="0008255A" w14:paraId="26060A62" w14:textId="77777777" w:rsidTr="00DD109F">
        <w:trPr>
          <w:trHeight w:val="307"/>
        </w:trPr>
        <w:tc>
          <w:tcPr>
            <w:tcW w:w="5065" w:type="dxa"/>
          </w:tcPr>
          <w:p w14:paraId="00000037" w14:textId="77777777" w:rsidR="0008255A" w:rsidRDefault="00000000">
            <w:pPr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Koszty mediów części wspólnej</w:t>
            </w:r>
          </w:p>
        </w:tc>
        <w:tc>
          <w:tcPr>
            <w:tcW w:w="1559" w:type="dxa"/>
          </w:tcPr>
          <w:p w14:paraId="00000038" w14:textId="77777777" w:rsidR="0008255A" w:rsidRDefault="00000000">
            <w:pPr>
              <w:jc w:val="center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1,00 zł</w:t>
            </w:r>
          </w:p>
        </w:tc>
        <w:tc>
          <w:tcPr>
            <w:tcW w:w="2410" w:type="dxa"/>
          </w:tcPr>
          <w:p w14:paraId="00000039" w14:textId="77777777" w:rsidR="0008255A" w:rsidRDefault="00000000">
            <w:pPr>
              <w:jc w:val="center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4,41%</w:t>
            </w:r>
          </w:p>
        </w:tc>
      </w:tr>
      <w:tr w:rsidR="0008255A" w14:paraId="50C922E6" w14:textId="77777777" w:rsidTr="00DD109F">
        <w:trPr>
          <w:trHeight w:val="307"/>
        </w:trPr>
        <w:tc>
          <w:tcPr>
            <w:tcW w:w="5065" w:type="dxa"/>
          </w:tcPr>
          <w:p w14:paraId="0000003A" w14:textId="77777777" w:rsidR="0008255A" w:rsidRDefault="00000000">
            <w:pPr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Ubezpieczenie i podatki</w:t>
            </w:r>
          </w:p>
        </w:tc>
        <w:tc>
          <w:tcPr>
            <w:tcW w:w="1559" w:type="dxa"/>
          </w:tcPr>
          <w:p w14:paraId="0000003B" w14:textId="77777777" w:rsidR="0008255A" w:rsidRDefault="00000000">
            <w:pPr>
              <w:jc w:val="center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1,20 zł</w:t>
            </w:r>
          </w:p>
        </w:tc>
        <w:tc>
          <w:tcPr>
            <w:tcW w:w="2410" w:type="dxa"/>
          </w:tcPr>
          <w:p w14:paraId="0000003C" w14:textId="77777777" w:rsidR="0008255A" w:rsidRDefault="00000000">
            <w:pPr>
              <w:jc w:val="center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5,29%</w:t>
            </w:r>
          </w:p>
        </w:tc>
      </w:tr>
      <w:tr w:rsidR="0008255A" w14:paraId="4F4CAE77" w14:textId="77777777" w:rsidTr="00DD109F">
        <w:trPr>
          <w:trHeight w:val="318"/>
        </w:trPr>
        <w:tc>
          <w:tcPr>
            <w:tcW w:w="5065" w:type="dxa"/>
          </w:tcPr>
          <w:p w14:paraId="0000003D" w14:textId="77777777" w:rsidR="0008255A" w:rsidRDefault="00000000">
            <w:pPr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lastRenderedPageBreak/>
              <w:t>Koszty zarządzania</w:t>
            </w:r>
          </w:p>
        </w:tc>
        <w:tc>
          <w:tcPr>
            <w:tcW w:w="1559" w:type="dxa"/>
          </w:tcPr>
          <w:p w14:paraId="0000003E" w14:textId="77777777" w:rsidR="0008255A" w:rsidRDefault="00000000">
            <w:pPr>
              <w:jc w:val="center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2,00 zł</w:t>
            </w:r>
          </w:p>
        </w:tc>
        <w:tc>
          <w:tcPr>
            <w:tcW w:w="2410" w:type="dxa"/>
          </w:tcPr>
          <w:p w14:paraId="0000003F" w14:textId="77777777" w:rsidR="0008255A" w:rsidRDefault="00000000">
            <w:pPr>
              <w:jc w:val="center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8,82%</w:t>
            </w:r>
          </w:p>
        </w:tc>
      </w:tr>
      <w:tr w:rsidR="0008255A" w14:paraId="4BCDEE0F" w14:textId="77777777" w:rsidTr="00DD109F">
        <w:trPr>
          <w:trHeight w:val="307"/>
        </w:trPr>
        <w:tc>
          <w:tcPr>
            <w:tcW w:w="5065" w:type="dxa"/>
          </w:tcPr>
          <w:p w14:paraId="00000040" w14:textId="77777777" w:rsidR="0008255A" w:rsidRDefault="00000000">
            <w:pPr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Odpis na fundusz remontowy</w:t>
            </w:r>
          </w:p>
        </w:tc>
        <w:tc>
          <w:tcPr>
            <w:tcW w:w="1559" w:type="dxa"/>
          </w:tcPr>
          <w:p w14:paraId="00000041" w14:textId="77777777" w:rsidR="0008255A" w:rsidRDefault="00000000">
            <w:pPr>
              <w:jc w:val="center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1,00 zł</w:t>
            </w:r>
          </w:p>
        </w:tc>
        <w:tc>
          <w:tcPr>
            <w:tcW w:w="2410" w:type="dxa"/>
          </w:tcPr>
          <w:p w14:paraId="00000042" w14:textId="77777777" w:rsidR="0008255A" w:rsidRDefault="00000000">
            <w:pPr>
              <w:jc w:val="center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4,41%</w:t>
            </w:r>
          </w:p>
        </w:tc>
      </w:tr>
      <w:tr w:rsidR="0008255A" w14:paraId="3632A5B1" w14:textId="77777777" w:rsidTr="00DD109F">
        <w:trPr>
          <w:trHeight w:val="307"/>
        </w:trPr>
        <w:tc>
          <w:tcPr>
            <w:tcW w:w="5065" w:type="dxa"/>
          </w:tcPr>
          <w:p w14:paraId="00000043" w14:textId="77777777" w:rsidR="0008255A" w:rsidRDefault="00000000">
            <w:pPr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Łącznie</w:t>
            </w:r>
          </w:p>
        </w:tc>
        <w:tc>
          <w:tcPr>
            <w:tcW w:w="1559" w:type="dxa"/>
          </w:tcPr>
          <w:p w14:paraId="00000044" w14:textId="77777777" w:rsidR="0008255A" w:rsidRDefault="00000000">
            <w:pPr>
              <w:jc w:val="center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22,68 zł/m²</w:t>
            </w:r>
          </w:p>
        </w:tc>
        <w:tc>
          <w:tcPr>
            <w:tcW w:w="2410" w:type="dxa"/>
          </w:tcPr>
          <w:p w14:paraId="00000045" w14:textId="77777777" w:rsidR="0008255A" w:rsidRDefault="00000000">
            <w:pPr>
              <w:jc w:val="center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100%</w:t>
            </w:r>
          </w:p>
        </w:tc>
      </w:tr>
    </w:tbl>
    <w:p w14:paraId="00000046" w14:textId="6496A4F4" w:rsidR="0008255A" w:rsidRPr="00DD109F" w:rsidRDefault="00000000">
      <w:pPr>
        <w:pStyle w:val="Nagwek2"/>
        <w:rPr>
          <w:rFonts w:ascii="Open Sans" w:eastAsia="Open Sans" w:hAnsi="Open Sans" w:cs="Open Sans"/>
          <w:color w:val="000000"/>
          <w:sz w:val="22"/>
          <w:szCs w:val="22"/>
        </w:rPr>
      </w:pPr>
      <w:r w:rsidRPr="00DD109F">
        <w:rPr>
          <w:rFonts w:ascii="Open Sans" w:eastAsia="Open Sans" w:hAnsi="Open Sans" w:cs="Open Sans"/>
          <w:color w:val="000000"/>
          <w:sz w:val="22"/>
          <w:szCs w:val="22"/>
        </w:rPr>
        <w:t>Planowana stawka czynszu od 1 września 2026 roku</w:t>
      </w:r>
    </w:p>
    <w:tbl>
      <w:tblPr>
        <w:tblStyle w:val="a2"/>
        <w:tblW w:w="8919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73"/>
        <w:gridCol w:w="2973"/>
        <w:gridCol w:w="2973"/>
      </w:tblGrid>
      <w:tr w:rsidR="0008255A" w14:paraId="500B54E3" w14:textId="77777777">
        <w:trPr>
          <w:trHeight w:val="332"/>
        </w:trPr>
        <w:tc>
          <w:tcPr>
            <w:tcW w:w="2973" w:type="dxa"/>
          </w:tcPr>
          <w:p w14:paraId="00000047" w14:textId="77777777" w:rsidR="0008255A" w:rsidRDefault="00000000">
            <w:pPr>
              <w:jc w:val="center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Składnik czynszu</w:t>
            </w:r>
          </w:p>
        </w:tc>
        <w:tc>
          <w:tcPr>
            <w:tcW w:w="2973" w:type="dxa"/>
          </w:tcPr>
          <w:p w14:paraId="00000048" w14:textId="77777777" w:rsidR="0008255A" w:rsidRDefault="00000000">
            <w:pPr>
              <w:jc w:val="center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Stawka</w:t>
            </w:r>
          </w:p>
        </w:tc>
        <w:tc>
          <w:tcPr>
            <w:tcW w:w="2973" w:type="dxa"/>
          </w:tcPr>
          <w:p w14:paraId="00000049" w14:textId="77777777" w:rsidR="0008255A" w:rsidRDefault="00000000">
            <w:pPr>
              <w:jc w:val="center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Udział procentowy</w:t>
            </w:r>
          </w:p>
        </w:tc>
      </w:tr>
      <w:tr w:rsidR="0008255A" w14:paraId="5DC45D48" w14:textId="77777777">
        <w:trPr>
          <w:trHeight w:val="343"/>
        </w:trPr>
        <w:tc>
          <w:tcPr>
            <w:tcW w:w="2973" w:type="dxa"/>
          </w:tcPr>
          <w:p w14:paraId="0000004A" w14:textId="77777777" w:rsidR="0008255A" w:rsidRDefault="00000000">
            <w:pPr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Spłata kredytu</w:t>
            </w:r>
          </w:p>
        </w:tc>
        <w:tc>
          <w:tcPr>
            <w:tcW w:w="2973" w:type="dxa"/>
          </w:tcPr>
          <w:p w14:paraId="0000004B" w14:textId="77777777" w:rsidR="0008255A" w:rsidRDefault="00000000">
            <w:pPr>
              <w:jc w:val="center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16,39 zł</w:t>
            </w:r>
          </w:p>
        </w:tc>
        <w:tc>
          <w:tcPr>
            <w:tcW w:w="2973" w:type="dxa"/>
          </w:tcPr>
          <w:p w14:paraId="0000004C" w14:textId="77777777" w:rsidR="0008255A" w:rsidRDefault="00000000">
            <w:pPr>
              <w:jc w:val="center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67,73%</w:t>
            </w:r>
          </w:p>
        </w:tc>
      </w:tr>
      <w:tr w:rsidR="0008255A" w14:paraId="513B84AC" w14:textId="77777777">
        <w:trPr>
          <w:trHeight w:val="332"/>
        </w:trPr>
        <w:tc>
          <w:tcPr>
            <w:tcW w:w="2973" w:type="dxa"/>
          </w:tcPr>
          <w:p w14:paraId="0000004D" w14:textId="77777777" w:rsidR="0008255A" w:rsidRDefault="00000000">
            <w:pPr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Koszty eksploatacji</w:t>
            </w:r>
          </w:p>
        </w:tc>
        <w:tc>
          <w:tcPr>
            <w:tcW w:w="2973" w:type="dxa"/>
          </w:tcPr>
          <w:p w14:paraId="0000004E" w14:textId="77777777" w:rsidR="0008255A" w:rsidRDefault="00000000">
            <w:pPr>
              <w:jc w:val="center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6,81 zł</w:t>
            </w:r>
          </w:p>
        </w:tc>
        <w:tc>
          <w:tcPr>
            <w:tcW w:w="2973" w:type="dxa"/>
          </w:tcPr>
          <w:p w14:paraId="0000004F" w14:textId="77777777" w:rsidR="0008255A" w:rsidRDefault="00000000">
            <w:pPr>
              <w:jc w:val="center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28,14%</w:t>
            </w:r>
          </w:p>
        </w:tc>
      </w:tr>
      <w:tr w:rsidR="0008255A" w14:paraId="735D9B70" w14:textId="77777777">
        <w:trPr>
          <w:trHeight w:val="332"/>
        </w:trPr>
        <w:tc>
          <w:tcPr>
            <w:tcW w:w="2973" w:type="dxa"/>
          </w:tcPr>
          <w:p w14:paraId="00000050" w14:textId="77777777" w:rsidR="0008255A" w:rsidRDefault="00000000">
            <w:pPr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Fundusz remontowy</w:t>
            </w:r>
          </w:p>
        </w:tc>
        <w:tc>
          <w:tcPr>
            <w:tcW w:w="2973" w:type="dxa"/>
          </w:tcPr>
          <w:p w14:paraId="00000051" w14:textId="77777777" w:rsidR="0008255A" w:rsidRDefault="00000000">
            <w:pPr>
              <w:jc w:val="center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1,00 zł</w:t>
            </w:r>
          </w:p>
        </w:tc>
        <w:tc>
          <w:tcPr>
            <w:tcW w:w="2973" w:type="dxa"/>
          </w:tcPr>
          <w:p w14:paraId="00000052" w14:textId="77777777" w:rsidR="0008255A" w:rsidRDefault="00000000">
            <w:pPr>
              <w:jc w:val="center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4,13%</w:t>
            </w:r>
          </w:p>
        </w:tc>
      </w:tr>
      <w:tr w:rsidR="0008255A" w14:paraId="69211989" w14:textId="77777777">
        <w:trPr>
          <w:trHeight w:val="332"/>
        </w:trPr>
        <w:tc>
          <w:tcPr>
            <w:tcW w:w="2973" w:type="dxa"/>
          </w:tcPr>
          <w:p w14:paraId="00000053" w14:textId="77777777" w:rsidR="0008255A" w:rsidRDefault="00000000">
            <w:pPr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Łącznie</w:t>
            </w:r>
          </w:p>
        </w:tc>
        <w:tc>
          <w:tcPr>
            <w:tcW w:w="2973" w:type="dxa"/>
          </w:tcPr>
          <w:p w14:paraId="00000054" w14:textId="77777777" w:rsidR="0008255A" w:rsidRDefault="00000000">
            <w:pPr>
              <w:jc w:val="center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24,20 zł/m²</w:t>
            </w:r>
          </w:p>
        </w:tc>
        <w:tc>
          <w:tcPr>
            <w:tcW w:w="2973" w:type="dxa"/>
          </w:tcPr>
          <w:p w14:paraId="00000055" w14:textId="77777777" w:rsidR="0008255A" w:rsidRDefault="00000000">
            <w:pPr>
              <w:jc w:val="center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100%</w:t>
            </w:r>
          </w:p>
        </w:tc>
      </w:tr>
    </w:tbl>
    <w:p w14:paraId="00000056" w14:textId="77777777" w:rsidR="0008255A" w:rsidRDefault="00000000">
      <w:pPr>
        <w:jc w:val="both"/>
        <w:rPr>
          <w:rFonts w:ascii="Open Sans" w:eastAsia="Open Sans" w:hAnsi="Open Sans" w:cs="Open Sans"/>
          <w:b/>
          <w:bCs/>
        </w:rPr>
      </w:pPr>
      <w:r>
        <w:rPr>
          <w:rFonts w:ascii="Open Sans" w:eastAsia="Open Sans" w:hAnsi="Open Sans" w:cs="Open Sans"/>
          <w:b/>
          <w:bCs/>
        </w:rPr>
        <w:br/>
        <w:t>2. Planowana inwestycja – Sosnowiec, ulica Popiełuszki.</w:t>
      </w:r>
    </w:p>
    <w:p w14:paraId="00000057" w14:textId="0E2370A6" w:rsidR="0008255A" w:rsidRDefault="00000000">
      <w:pPr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SIM Zagłębie sp. z o.o. prowadzi przygotowania do realizacji kolejnej inwestycji mieszkaniowej na terenie Sosnowca przy ulicy Popiełuszki.</w:t>
      </w:r>
    </w:p>
    <w:p w14:paraId="00000058" w14:textId="77777777" w:rsidR="0008255A" w:rsidRDefault="00000000">
      <w:pPr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Nieruchomość została wniesiona aportem do Spółki przez Gminę Sosnowiec aktem notarialnym z dnia 22 grudnia 2025 roku i obejmuje działki nr 1116/1 oraz 1117/1        o łącznej powierzchni 0,6861 ha. </w:t>
      </w:r>
    </w:p>
    <w:p w14:paraId="00000059" w14:textId="77777777" w:rsidR="0008255A" w:rsidRDefault="00000000">
      <w:pPr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Zgodnie z tegorocznym Planem Rzeczowo-Finansowym inwestycja znajduje się obecnie na etapie koncepcji i przygotowania procesu inwestycyjnego. Dla przedsięwzięcia prowadzone są działania związane z analizą potencjału inwestycyjnego nieruchomości oraz przygotowaniem dokumentacji projektowej.</w:t>
      </w:r>
    </w:p>
    <w:p w14:paraId="0000005A" w14:textId="77777777" w:rsidR="0008255A" w:rsidRDefault="00000000">
      <w:pPr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Planowana inwestycja wpisuje się w strategię rozwoju społecznego budownictwa czynszowego realizowaną przez SIM Zagłębie sp. z o.o., której celem jest zwiększanie dostępności mieszkań o umiarkowanych kosztach najmu dla mieszkańców.</w:t>
      </w:r>
    </w:p>
    <w:p w14:paraId="0000005B" w14:textId="77777777" w:rsidR="0008255A" w:rsidRDefault="00000000">
      <w:pPr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Jednocześnie Spółka kontynuuje działania zmierzające do rozwoju kolejnych inwestycji mieszkaniowych.</w:t>
      </w:r>
    </w:p>
    <w:p w14:paraId="0000005C" w14:textId="77777777" w:rsidR="0008255A" w:rsidRDefault="00000000">
      <w:pPr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Dalszy rozwój społecznego budownictwa czynszowego realizowanego przez SIM Zagłębie sp. z o.o. będzie stanowił ważny element zwiększania dostępności mieszkań dla mieszkańców regionu oraz wzmacniania lokalnej polityki mieszkaniowej prowadzonej przez samorządy.</w:t>
      </w:r>
    </w:p>
    <w:sectPr w:rsidR="0008255A">
      <w:pgSz w:w="12240" w:h="15840"/>
      <w:pgMar w:top="1440" w:right="1800" w:bottom="1440" w:left="180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DFCBB5C8-1A47-44D1-960C-1E6051999028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2" w:fontKey="{0DB0F4D2-E0A8-42E6-9E02-F61342A0C859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A7DFE883-2245-4921-84FC-8A4EBF745DDF}"/>
    <w:embedBold r:id="rId4" w:fontKey="{37933FE7-14E4-4B45-8ABF-16B48C13E34C}"/>
    <w:embedItalic r:id="rId5" w:fontKey="{7E3BB65C-87D4-4D11-8609-E7B2F418ACB8}"/>
    <w:embedBoldItalic r:id="rId6" w:fontKey="{E06F4528-F7CF-412E-A040-6FEECBAB03F1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 Sans">
    <w:panose1 w:val="020B0606030504020204"/>
    <w:charset w:val="EE"/>
    <w:family w:val="swiss"/>
    <w:pitch w:val="variable"/>
    <w:sig w:usb0="E00002EF" w:usb1="4000205B" w:usb2="00000028" w:usb3="00000000" w:csb0="0000019F" w:csb1="00000000"/>
    <w:embedRegular r:id="rId7" w:fontKey="{C271AED8-9ED8-4096-A66A-93816EB2D906}"/>
    <w:embedBold r:id="rId8" w:fontKey="{CA5F6352-537B-448D-A086-E1182FB88AD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6CD0F9C"/>
    <w:multiLevelType w:val="multilevel"/>
    <w:tmpl w:val="8EDE43DE"/>
    <w:lvl w:ilvl="0">
      <w:start w:val="1"/>
      <w:numFmt w:val="bullet"/>
      <w:lvlText w:val="●"/>
      <w:lvlJc w:val="left"/>
      <w:pPr>
        <w:ind w:left="425" w:hanging="425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2061147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255A"/>
    <w:rsid w:val="0008255A"/>
    <w:rsid w:val="00433D13"/>
    <w:rsid w:val="00584494"/>
    <w:rsid w:val="009C6542"/>
    <w:rsid w:val="00CF40C8"/>
    <w:rsid w:val="00DD10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D38740"/>
  <w15:docId w15:val="{8FB825B9-D220-450A-BDCB-3B34563B58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2"/>
        <w:szCs w:val="22"/>
        <w:lang w:val="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0"/>
      <w:outlineLvl w:val="0"/>
    </w:pPr>
    <w:rPr>
      <w:rFonts w:ascii="Calibri" w:eastAsia="Calibri" w:hAnsi="Calibri" w:cs="Calibri"/>
      <w:b/>
      <w:bCs/>
      <w:color w:val="366091"/>
      <w:sz w:val="28"/>
      <w:szCs w:val="28"/>
    </w:rPr>
  </w:style>
  <w:style w:type="paragraph" w:styleId="Nagwek2">
    <w:name w:val="heading 2"/>
    <w:basedOn w:val="Normalny"/>
    <w:next w:val="Normalny"/>
    <w:uiPriority w:val="9"/>
    <w:unhideWhenUsed/>
    <w:qFormat/>
    <w:pPr>
      <w:keepNext/>
      <w:keepLines/>
      <w:spacing w:before="200" w:after="0"/>
      <w:outlineLvl w:val="1"/>
    </w:pPr>
    <w:rPr>
      <w:rFonts w:ascii="Calibri" w:eastAsia="Calibri" w:hAnsi="Calibri" w:cs="Calibri"/>
      <w:b/>
      <w:bCs/>
      <w:color w:val="4F81BD"/>
      <w:sz w:val="26"/>
      <w:szCs w:val="2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00" w:after="0"/>
      <w:outlineLvl w:val="2"/>
    </w:pPr>
    <w:rPr>
      <w:rFonts w:ascii="Calibri" w:eastAsia="Calibri" w:hAnsi="Calibri" w:cs="Calibri"/>
      <w:b/>
      <w:bCs/>
      <w:color w:val="4F81BD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00" w:after="0"/>
      <w:outlineLvl w:val="3"/>
    </w:pPr>
    <w:rPr>
      <w:rFonts w:ascii="Calibri" w:eastAsia="Calibri" w:hAnsi="Calibri" w:cs="Calibri"/>
      <w:b/>
      <w:bCs/>
      <w:i/>
      <w:iCs/>
      <w:color w:val="4F81BD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00" w:after="0"/>
      <w:outlineLvl w:val="4"/>
    </w:pPr>
    <w:rPr>
      <w:rFonts w:ascii="Calibri" w:eastAsia="Calibri" w:hAnsi="Calibri" w:cs="Calibri"/>
      <w:color w:val="243F61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0"/>
      <w:outlineLvl w:val="5"/>
    </w:pPr>
    <w:rPr>
      <w:rFonts w:ascii="Calibri" w:eastAsia="Calibri" w:hAnsi="Calibri" w:cs="Calibri"/>
      <w:i/>
      <w:iCs/>
      <w:color w:val="243F6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pBdr>
        <w:bottom w:val="single" w:sz="8" w:space="4" w:color="4F81BD"/>
      </w:pBdr>
      <w:spacing w:after="300" w:line="240" w:lineRule="auto"/>
    </w:pPr>
    <w:rPr>
      <w:rFonts w:ascii="Calibri" w:eastAsia="Calibri" w:hAnsi="Calibri" w:cs="Calibri"/>
      <w:color w:val="17365D"/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rPr>
      <w:rFonts w:ascii="Calibri" w:eastAsia="Calibri" w:hAnsi="Calibri" w:cs="Calibri"/>
      <w:i/>
      <w:iCs/>
      <w:color w:val="4F81BD"/>
      <w:sz w:val="24"/>
      <w:szCs w:val="24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komentarza">
    <w:name w:val="annotation text"/>
    <w:basedOn w:val="Normalny"/>
    <w:link w:val="TekstkomentarzaZnak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Pr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dCOHSTTa8W9F1V1VTzDFrc42BIQ==">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699</Words>
  <Characters>4200</Characters>
  <Application>Microsoft Office Word</Application>
  <DocSecurity>0</DocSecurity>
  <Lines>35</Lines>
  <Paragraphs>9</Paragraphs>
  <ScaleCrop>false</ScaleCrop>
  <Company/>
  <LinksUpToDate>false</LinksUpToDate>
  <CharactersWithSpaces>4890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um</dc:creator>
  <cp:lastModifiedBy>um</cp:lastModifiedBy>
  <cp:revision>2</cp:revision>
  <dcterms:created xsi:type="dcterms:W3CDTF">2026-05-21T07:02:00Z</dcterms:created>
  <dcterms:modified xsi:type="dcterms:W3CDTF">2026-05-21T07:02:00Z</dcterms:modified>
</cp:coreProperties>
</file>