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Wydział Planowania Przestrzennego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Urząd Miejski w Sosnowcu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Sosnowiec 14.04.2026 r.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Przewodniczący Komisji </w:t>
      </w:r>
    </w:p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Rozwoju Miasta i Ochrony Środowiska</w:t>
      </w:r>
    </w:p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Pan Wojciech Nitwinko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Aktualne kierunki planowania przestrzennego miasta Sosnowca w kontekście potrzeb społecznych i gospodarczych oraz prace nad przyjęciem planu ogólnego miasta Sosnowca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Ustawa o planowaniu i zagospodarowaniu przestrzennym nakłada jest podstawowym aktem prawnym regulującym zasady kształtowania przestrzeni każdej gminy w Polsce. Określa ona zasady funkcjonowania poszczególnych dokumentów planistycznych a zasięg jej oddziaływania sięga daleko. Po wejściu w życie ostatniej dużej nowelizacji ustawy o planowaniu i zagospodarowaniu przestrzennym t.j. 24 września 2023 r. zmieniającej w znacznym stopniu system prawny w Polsce w zakresie planowania przestrzennego (podobna sytuacja miała miejsce 30 lat wcześniej) nastąpiła znacząca zmiana w podejściu do traktowania poszczególnych dokumentów. 30 lat wcześniej zmiany miały następować systematycznie w tempie dostosowanym  do możliwości poszczególnych gmin i na równych zasadach. W chwili obecnej sytuacja jest odmienna. Brak jest możliwości płynnego i racjonalnego „przejścia” w nowy system z uwagi na chaotyczne podejście do poszczególnych dokumentów gdzie jedne tracą m a drugie zyskują na znaczeniu przy czym nie ma tutaj zbyt wiele czasu na prowadzenie prac nad poszczególnymi dokumentami biorąc pod uwagę bieżące sytuacje poszczególnych użytkowników terenów.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Do tego roku (daty są różne z uwagi na kolejność przyjmowania poszczególnych dokumentów) będzie obowiązywało studium uwarunkowań i kierunków zagospodarowania przestrzennego, które nie jest aktem prawa miejscowego i którego formuła stwarzała pozory dbałości o ład przestrzenny. Był to dokument w pełnym sensie strategiczny w zakresie wyznaczania kierunków rozwoju na terenie miasta i w tej formule pełnił rolę strategii miasta. Równolegle tworzone były strategie rozwoju, które pełniły rolę dokumenty odpowiadające na potrzeby gminy/miasta głównie w zakresie pozyskiwania środków zewnętrznych. Studium… było bazą do sporządzania miejscowych planów zagospodarowania jednakże nie było podstawą do prowadzenia podstępowań administracyjnych a także mogło być w sprzeczności z różnego rodzaju tzw. spec-ustawami, które jedynie eliminowały źle skonstruowane przepisy w samej ustawie o planowaniu i zagospodarowaniu przestrzennym. Studium zawierało część uwarunkowań, których zakres pozwalał na zebraniu mocnych i słabych stron miasta/gminy  z różnych obszarów przedstawiając problemy i atuty oraz możliwości rozwojowe, które ostatecznie znajdowały swoje odzwierciedlenie w kierunkach rozwoju. Po zmianie ustawy, gdy studium…. jest w fazie eliminacji, to strategia rozwoju przejmuje część studium, która określa politykę rozwoju gminy/miasta przy pełnym obrazie uwarunkowań jakie tu funkcjonują. Część kierunków rozwoju znajduje swoje odzwierciedlenie w planie ogólnym gminy, który ma rangę aktu prawa miejscowego.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Plan ogólny gminy sporządza się dla całego obszaru gminy (z wyjątkami) przy czym możliwa jest punktowa jego zmiana. 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W planie ogólnym określa się: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a) strefy planistyczne,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b) gminne standardy urbanistyczne;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W planie ogólnym można określić: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a)obszary uzupełnienia zabudowy,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b)obszary zabudowy śródmiejskiej.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W planie ogólnym określa się (ustawa w tym miejscu właściwie nie reguluje co się określa), uwzględniając uwarunkowania rozwoju przestrzennego gminy, w szczególności: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1) </w:t>
      </w:r>
      <w:r>
        <w:rPr>
          <w:rFonts w:cs="Arial" w:ascii="Arial" w:hAnsi="Arial"/>
          <w:i/>
          <w:iCs/>
        </w:rPr>
        <w:t>politykę przestrzenną gminy określoną w strategii rozwoju gminy lub strategii rozwoju ponadlokalnego;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2)ustalenia planu zagospodarowania przestrzennego województwa;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3)znajdujące się na obszarze gminy: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a)formy ochrony przyrody oraz ich otuliny,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b)obszary szczególnego zagrożenia powodzią, wały przeciwpowodziowe oraz pasy o szerokości 50 m od stopy wału,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c)obszary gruntów zmeliorowanych,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d)tereny zagrożone ruchami masowymi ziemi oraz tereny, na których występują te ruchy,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e)strefy ochronne ujęć wody,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f)obszary ochronne zbiorników wód śródlądowych,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g)tereny górnicze i obszary górnicze wraz z filarami ochronnymi,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h)udokumentowane złoża kopalin, kompleksy podziemnego składowania dwutlenku węgla i podziemne bezzbiornikowe magazyny substancji,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i)obszary uzdrowisk oraz obszary ochrony uzdrowiskowej,</w:t>
      </w:r>
    </w:p>
    <w:p>
      <w:pPr>
        <w:pStyle w:val="Normal"/>
        <w:spacing w:lineRule="auto" w:line="288"/>
        <w:jc w:val="both"/>
        <w:rPr/>
      </w:pPr>
      <w:r>
        <w:rPr>
          <w:rFonts w:cs="Arial" w:ascii="Arial" w:hAnsi="Arial"/>
        </w:rPr>
        <w:t xml:space="preserve">j)zabytki objęte formami ochrony, o których mowa w </w:t>
      </w:r>
      <w:r>
        <w:fldChar w:fldCharType="begin"/>
      </w:r>
      <w:r>
        <w:instrText> HYPERLINK "https://sip.lex.pl/" \l "/document/17051617"</w:instrText>
      </w:r>
      <w:r>
        <w:fldChar w:fldCharType="separate"/>
      </w:r>
      <w:r>
        <w:rPr>
          <w:rStyle w:val="Czeinternetowe"/>
          <w:rFonts w:cs="Arial" w:ascii="Arial" w:hAnsi="Arial"/>
        </w:rPr>
        <w:t>ustawie</w:t>
      </w:r>
      <w:r>
        <w:fldChar w:fldCharType="end"/>
      </w:r>
      <w:r>
        <w:rPr>
          <w:rFonts w:cs="Arial" w:ascii="Arial" w:hAnsi="Arial"/>
        </w:rPr>
        <w:t xml:space="preserve"> z dnia 23 lipca 2003 r. o ochronie zabytków i opiece nad zabytkami (Dz. U. z 2022 r. poz. 840 oraz z 2023 r. poz. 951, 1688 i 1904), lub ujęte w wojewódzkiej lub gminnej ewidencji zabytków oraz dobra kultury współczesnej,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k)obszary pomników zagłady i ich strefy ochronne,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l)tereny zamknięte i ich strefy ochronne,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m)obszary ograniczonego użytkowania,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n)obszary wymagające przekształceń, rehabilitacji, rekultywacji lub remediacji,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o)obszary zdegradowane i obszary rewitalizacji,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p)obszary ciche w aglomeracji oraz obszary ciche poza aglomeracją,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q)grunty rolne stanowiące użytki rolne klas I-III oraz grunty leśne,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r)zakłady o zwiększonym i dużym ryzyku wystąpienia poważnej awarii przemysłowej,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s)obszary pasa nadbrzeżnego, w tym w szczególności pasa technicznego;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4)rozmieszczenie istniejących i planowanych obiektów infrastruktury społecznej, transportowej i technicznej wraz z obowiązującymi dla nich ograniczeniami w zagospodarowaniu;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5)rekomendacje i wnioski zawarte w audycie krajobrazowym oraz krajobrazy priorytetowe;</w:t>
      </w:r>
    </w:p>
    <w:p>
      <w:pPr>
        <w:pStyle w:val="Normal"/>
        <w:spacing w:lineRule="auto" w:line="288"/>
        <w:jc w:val="both"/>
        <w:rPr/>
      </w:pPr>
      <w:r>
        <w:rPr>
          <w:rFonts w:cs="Arial" w:ascii="Arial" w:hAnsi="Arial"/>
        </w:rPr>
        <w:t xml:space="preserve">6)opracowanie ekofizjograficzne w zakresie wymagań, o których mowa w </w:t>
      </w:r>
      <w:r>
        <w:fldChar w:fldCharType="begin"/>
      </w:r>
      <w:r>
        <w:instrText> HYPERLINK "https://sip.lex.pl/" \l "/document/16901353?unitId=art(72)ust(1)"</w:instrText>
      </w:r>
      <w:r>
        <w:fldChar w:fldCharType="separate"/>
      </w:r>
      <w:r>
        <w:rPr>
          <w:rStyle w:val="Czeinternetowe"/>
          <w:rFonts w:cs="Arial" w:ascii="Arial" w:hAnsi="Arial"/>
        </w:rPr>
        <w:t>art. 72 ust. 1-3</w:t>
      </w:r>
      <w:r>
        <w:fldChar w:fldCharType="end"/>
      </w:r>
      <w:r>
        <w:rPr>
          <w:rFonts w:cs="Arial" w:ascii="Arial" w:hAnsi="Arial"/>
        </w:rPr>
        <w:t xml:space="preserve"> ustawy z dnia 27 kwietnia 2001 r. - Prawo ochrony środowiska;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7)zapotrzebowanie na nową zabudowę mieszkaniową w gminie.</w:t>
      </w:r>
    </w:p>
    <w:p>
      <w:pPr>
        <w:pStyle w:val="Normal"/>
        <w:spacing w:lineRule="auto" w:line="288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Plan ogólny jest podstawą do sporządzania miejscowy planów zagospodarowania przestrzennego oraz dla decyzji o warunkach zabudowy i zagospodarowania terenu. W planie ogólnym wyznacza się poszczególne, ściśle określone strefy planistyczne: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1) strefa wielofunkcyjna z zabudową mieszkaniową wielorodzinną;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2) strefa wielofunkcyjna z zabudową mieszkaniową jednorodzinną;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3) strefa wielofunkcyjna z zabudową zagrodową;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4) strefa usługowa;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5) strefa handlu wielkopowierzchniowego;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6) strefa gospodarcza;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7) strefa produkcji rolniczej;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8) strefa infrastrukturalna;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9) strefa zieleni i rekreacji;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10) strefa cmentarzy;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11) strefa górnictwa;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12) strefa otwarta;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13) strefa komunikacyjna.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Zakres stref określa rozporządzenie – jest to ściśle określony zestaw możliwych do wyznaczenia funkcji wraz z parametrami, które ustalane są w zależności od konkretnej strefy. W przypadku wyznaczania stref związanych z zabudową mieszkaniową obowiązują następujące zasady:</w:t>
      </w:r>
    </w:p>
    <w:p>
      <w:pPr>
        <w:pStyle w:val="ListParagraph"/>
        <w:numPr>
          <w:ilvl w:val="0"/>
          <w:numId w:val="1"/>
        </w:numPr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Wyznacza się je na obszarach, dla których w obowiązujących miejscowych planach zagospodarowania przestrzennego określono przeznaczenie umożliwiające realizację funkcji mieszkaniowej,</w:t>
      </w:r>
    </w:p>
    <w:p>
      <w:pPr>
        <w:pStyle w:val="ListParagraph"/>
        <w:numPr>
          <w:ilvl w:val="0"/>
          <w:numId w:val="1"/>
        </w:numPr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Wyznacza się je na obszarach uzupełnienia zabudowy </w:t>
      </w:r>
    </w:p>
    <w:p>
      <w:pPr>
        <w:pStyle w:val="ListParagraph"/>
        <w:numPr>
          <w:ilvl w:val="0"/>
          <w:numId w:val="1"/>
        </w:numPr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Wyznacza się je na obszarach z istniejącą zabudową o funkcji mieszkaniowej z wyłączeniem luk w tej zabudowie</w:t>
      </w:r>
    </w:p>
    <w:p>
      <w:pPr>
        <w:pStyle w:val="ListParagraph"/>
        <w:numPr>
          <w:ilvl w:val="0"/>
          <w:numId w:val="1"/>
        </w:numPr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Wyznacza się je biorąc po uwagę sumę chłonności terenów niezabudowanych, w tym luk w istniejącej zabudowie, przy czym chłonność nie może być mniejsza niż 70 % oraz większa niż 130 % wartości zapotrzebowania na nową zabudowę mieszkaniową w gminie</w:t>
      </w:r>
    </w:p>
    <w:p>
      <w:pPr>
        <w:pStyle w:val="ListParagraph"/>
        <w:numPr>
          <w:ilvl w:val="0"/>
          <w:numId w:val="1"/>
        </w:numPr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przekroczenia 130% sumy chłonności nie wyznacza się nowych stref mieszkaniowych na terenie gminy.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Jedynym możliwym odstępstwem od tych zasad jest „zasada” ustalona w rozporządzeniu w sprawie projektu planu ogólnego gminy, dokumentowania prac planistycznych w zakresie tego planu oraz wydawania z niego wypisów i wyrysów, która wskazuje, że dopuszcza się określenie wyższego zapotrzebowania na nową zabudowę mieszkaniową, niż wynika to ze wzoru, o którym mowa w ust. 2, jeżeli jest to uzasadnione szczególnymi potrzebami w zakresie nowej zabudowy mieszkaniowej określonymi w strategii rozwoju gminy, strategii rozwoju ponadlokalnego lub strategii rozwoju obszaru otoczenia Centralnego Portu Komunikacyjnego. 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Brak jest jednoznacznego przepisu w jaki sposób sporządza się plan ogólny. Ogólnie przyjmuje się, że jest to forma pliku gml, który jest załącznikiem do Uchwały Rady Miejskiej w sprawie przyjęcia planu ogólnego.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W chwili obecnej został opracowany projekt planu ogólnego dla miasta Sosnowca. Określono zapotrzebowanie na nową zabudowę mieszkaniową na postawie zasad ustalonych w ww rozporządzeniu i poniżej przedstawiam najważniejsze przesądzenia.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Najnowsze dane dotyczące ludności na 2024 rok : 185 930 osób </w:t>
      </w:r>
    </w:p>
    <w:p>
      <w:pPr>
        <w:pStyle w:val="Normal"/>
        <w:spacing w:lineRule="auto" w:line="288"/>
        <w:ind w:left="2" w:right="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W obliczeniach, o których mowa w § 3 ust. 2 rozporządzenia (zapotrzebowanie na nową zabudowę mieszkaniową), przyjmuje się okres prognozy obejmujący 20 lat od roku, którego dotyczą najnowsze dostępne dane dotyczące liczby mieszkańców gminy udostępnianych przez statystykę publiczną.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Zapotrzebowanie na nową zabudowę mieszkaniową ZAP = M20 – PUM0 / P20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gdzie: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ZAP – oznacza zapotrzebowanie na nową zabudowę mieszkaniową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M20 – oznacza prognozowaną liczbę mieszkańców gminy w oparciu o dane udostępniane przez statystykę publiczną, powiększoną o 5%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PUM0 – oznacza łączną powierzchnię użytkową mieszkań w gminie zgodną z najnowszymi danymi P20 – oznacza prognozowaną powierzchnię użytkową mieszkań w gminie na jednego mieszkańca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Prognozowana liczba ludności na 2044 rok (2024-2044): 141 762 mieszkańców</w:t>
      </w:r>
    </w:p>
    <w:p>
      <w:pPr>
        <w:pStyle w:val="Normal"/>
        <w:spacing w:lineRule="auto" w:line="288"/>
        <w:ind w:left="2" w:right="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(M20) Prognozowana liczba mieszkańców gminy w oparciu o dane udostępniane przez statystykę publiczną powiększona o 5 %: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M20 = 141 762 os. x 5 % = 7088,1 os. 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M20 = 141 762 + 7088,1 = 148 850,1 os. 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M20 =</w:t>
      </w:r>
      <w:r>
        <w:rPr>
          <w:rFonts w:cs="Arial" w:ascii="Arial" w:hAnsi="Arial"/>
          <w:b/>
          <w:bCs/>
        </w:rPr>
        <w:t xml:space="preserve"> 148 850,1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os.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Prognozowana powierzchnia użytkowa mieszkań w gminie na jednego mieszkańca: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P20 = 3P0 − 2P−10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lub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P20 = 2P0 − P−20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gdzie:</w:t>
      </w:r>
    </w:p>
    <w:p>
      <w:pPr>
        <w:pStyle w:val="Normal"/>
        <w:spacing w:lineRule="auto" w:line="288"/>
        <w:ind w:left="2" w:right="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P0 – oznacza powierzchnię użytkową mieszkań w gminie na jednego mieszkańca zgodną z najnowszymi danymi,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P−10 – oznacza powierzchnię użytkową mieszkań w gminie na jednego mieszkańca zgodną z danymi udostępnianymi przez statystykę publiczną, według stanu na 10 lat przed rokiem, z którego pochodzą najnowsze dane,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P−20 – oznacza powierzchnię użytkową mieszkań w gminie na jednego mieszkańca zgodną z danymi udostępnianymi przez statystykę publiczną, według stanu na 20 lat przed rokiem, z którego pochodzą najnowsze dane.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(PUM0) Łączna powierzchnia użytkowa mieszkań w gminie zgodna z najnowszymi danymi: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PUM0 = 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(P0) Powierzchnia użytkowa mieszkania na 1 osobę na 2024 rok: 28,5 m</w:t>
      </w:r>
      <w:r>
        <w:rPr>
          <w:rFonts w:cs="Arial" w:ascii="Arial" w:hAnsi="Arial"/>
          <w:vertAlign w:val="superscript"/>
        </w:rPr>
        <w:t>2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(P-10) Powierzchnia użytkowa mieszkania na 1 osobę na 2014 rok: 26,7 m</w:t>
      </w:r>
      <w:r>
        <w:rPr>
          <w:rFonts w:cs="Arial" w:ascii="Arial" w:hAnsi="Arial"/>
          <w:vertAlign w:val="superscript"/>
        </w:rPr>
        <w:t>2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(P-20) Powierzchnia użytkowa mieszkania na 1 osobę na 2004 rok: 23,1 m</w:t>
      </w:r>
      <w:r>
        <w:rPr>
          <w:rFonts w:cs="Arial" w:ascii="Arial" w:hAnsi="Arial"/>
          <w:vertAlign w:val="superscript"/>
        </w:rPr>
        <w:t>2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P20 = 3 x 28,5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– 2 x 26,7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= 85,5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– 53,4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= 32,1 m</w:t>
      </w:r>
      <w:r>
        <w:rPr>
          <w:rFonts w:cs="Arial" w:ascii="Arial" w:hAnsi="Arial"/>
          <w:vertAlign w:val="superscript"/>
        </w:rPr>
        <w:t>2</w:t>
      </w:r>
    </w:p>
    <w:p>
      <w:pPr>
        <w:pStyle w:val="Normal"/>
        <w:spacing w:lineRule="auto" w:line="288"/>
        <w:jc w:val="both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P20 = 2 x 28,5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– 23,1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= 57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– 23,1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=  33,9 m</w:t>
      </w:r>
      <w:r>
        <w:rPr>
          <w:rFonts w:cs="Arial" w:ascii="Arial" w:hAnsi="Arial"/>
          <w:vertAlign w:val="superscript"/>
        </w:rPr>
        <w:t>2</w:t>
      </w:r>
    </w:p>
    <w:p>
      <w:pPr>
        <w:pStyle w:val="Normal"/>
        <w:spacing w:lineRule="auto" w:line="288"/>
        <w:ind w:right="540" w:hanging="0"/>
        <w:jc w:val="both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W przypadku gdy prognozowana powierzchnia użytkowa mieszkań w gminie na jednego mieszkańca (P20) obliczona zgodnie z § 3 ust. 3 rozporządzenia jest mniejsza niż powierzchnia użytkowa mieszkań w gminie na jednego mieszkańca zgodna z najnowszymi danymi (P0), za prognozowaną powierzchnię użytkową mieszkań w gminie na jednego mieszkańca (P20) przyjmuje się powierzchnię użytkową mieszkań w gminie na jednego mieszkańca zgodną z najnowszymi danymi (P0). P20 = 33,9  m</w:t>
      </w:r>
      <w:r>
        <w:rPr>
          <w:rFonts w:cs="Arial" w:ascii="Arial" w:hAnsi="Arial"/>
          <w:vertAlign w:val="superscript"/>
        </w:rPr>
        <w:t>2</w:t>
      </w:r>
    </w:p>
    <w:p>
      <w:pPr>
        <w:pStyle w:val="Normal"/>
        <w:spacing w:lineRule="auto" w:line="288"/>
        <w:ind w:right="54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gdy prognozowana powierzchnia użytkowa mieszkań w gminie na jednego mieszkańca (P20) wyznaczona zgodnie z § 3 ust. 3 lub 7 rozporządzenia jest mniejsza niż 40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na jednego mieszkańca lub brak jest danych udostępnionych przez statystykę publiczną umożliwiających wykonanie obliczeń zgodnie z wzorami, o których mowa w § 3 ust. 3 rozporządzenia, przyjmuje się wartość tego parametru wynoszącą 40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na jednego mieszkańca.</w:t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</w:rPr>
        <w:t>P20 = 33,9 m</w:t>
      </w:r>
      <w:r>
        <w:rPr>
          <w:rFonts w:cs="Arial" w:ascii="Arial" w:hAnsi="Arial"/>
          <w:b/>
          <w:bCs/>
          <w:vertAlign w:val="superscript"/>
        </w:rPr>
        <w:t>2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Zapotrzebowanie na nową zabudowę: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ZAP = M20 − PUM0 / P20</w:t>
      </w:r>
    </w:p>
    <w:p>
      <w:pPr>
        <w:pStyle w:val="NoSpacing"/>
        <w:spacing w:lineRule="auto" w:line="288"/>
        <w:jc w:val="both"/>
        <w:rPr>
          <w:rFonts w:cs="Arial"/>
        </w:rPr>
      </w:pPr>
      <w:r>
        <w:rPr>
          <w:rFonts w:cs="Arial"/>
        </w:rPr>
        <w:t xml:space="preserve">ZAP = </w:t>
      </w:r>
      <w:r>
        <w:rPr>
          <w:rFonts w:cs="Arial"/>
          <w:b/>
          <w:bCs/>
        </w:rPr>
        <w:t>148 850,1</w:t>
      </w:r>
      <w:r>
        <w:rPr>
          <w:rFonts w:cs="Arial"/>
        </w:rPr>
        <w:t xml:space="preserve"> os. – 4242227,85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/ 33,9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/os. = </w:t>
      </w:r>
      <w:r>
        <w:rPr>
          <w:rFonts w:cs="Arial"/>
          <w:b/>
          <w:bCs/>
        </w:rPr>
        <w:t>148 850,1</w:t>
      </w:r>
      <w:r>
        <w:rPr>
          <w:rFonts w:cs="Arial"/>
        </w:rPr>
        <w:t xml:space="preserve"> os. – 125139,46 os. = 4116,80 = </w:t>
      </w:r>
      <w:r>
        <w:rPr>
          <w:rFonts w:cs="Arial"/>
          <w:b/>
          <w:bCs/>
        </w:rPr>
        <w:t>~ 23 710,64 osób</w:t>
      </w:r>
      <w:r>
        <w:rPr>
          <w:rFonts w:cs="Arial"/>
        </w:rPr>
        <w:t xml:space="preserve"> 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Zgodnie z zapisami ustawy: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Min. 70% zapotrzebowania – </w:t>
      </w:r>
      <w:r>
        <w:rPr>
          <w:rFonts w:cs="Arial" w:ascii="Arial" w:hAnsi="Arial"/>
          <w:b/>
          <w:bCs/>
        </w:rPr>
        <w:t>16 598 osób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Max 130% zapotrzebowania – </w:t>
      </w:r>
      <w:r>
        <w:rPr>
          <w:rFonts w:cs="Arial" w:ascii="Arial" w:hAnsi="Arial"/>
          <w:b/>
          <w:bCs/>
        </w:rPr>
        <w:t>30 824 osób</w:t>
      </w:r>
    </w:p>
    <w:p>
      <w:pPr>
        <w:pStyle w:val="Normal"/>
        <w:spacing w:lineRule="auto" w:line="288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Chłonność terenów niezabudowanych, w tym w lukach w istniejącej zabudowie dla terenów zabudowy mieszkaniowej jednorodzinnej wynosi </w:t>
      </w:r>
      <w:r>
        <w:rPr>
          <w:rFonts w:cs="Arial" w:ascii="Arial" w:hAnsi="Arial"/>
        </w:rPr>
        <w:t xml:space="preserve">15 300 </w:t>
      </w:r>
      <w:r>
        <w:rPr>
          <w:rFonts w:cs="Arial" w:ascii="Arial" w:hAnsi="Arial"/>
          <w:color w:val="000000" w:themeColor="text1"/>
        </w:rPr>
        <w:t xml:space="preserve">osób + </w:t>
      </w:r>
      <w:r>
        <w:rPr>
          <w:rFonts w:cs="Arial" w:ascii="Arial" w:hAnsi="Arial"/>
        </w:rPr>
        <w:t xml:space="preserve">2 027 </w:t>
      </w:r>
      <w:r>
        <w:rPr>
          <w:rFonts w:cs="Arial" w:ascii="Arial" w:hAnsi="Arial"/>
          <w:color w:val="000000" w:themeColor="text1"/>
        </w:rPr>
        <w:t>osób  = 17 327 osób</w:t>
      </w:r>
    </w:p>
    <w:p>
      <w:pPr>
        <w:pStyle w:val="Normal"/>
        <w:spacing w:lineRule="auto" w:line="288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Chłonność terenów niezabudowanych, w tym w lukach w istniejącej zabudowie dla terenów zabudowy mieszkaniowej wielorodzinnej wynosi </w:t>
      </w:r>
      <w:r>
        <w:rPr>
          <w:rFonts w:cs="Arial" w:ascii="Arial" w:hAnsi="Arial"/>
        </w:rPr>
        <w:t xml:space="preserve">12 975 </w:t>
      </w:r>
      <w:r>
        <w:rPr>
          <w:rFonts w:cs="Arial" w:ascii="Arial" w:hAnsi="Arial"/>
          <w:color w:val="000000" w:themeColor="text1"/>
        </w:rPr>
        <w:t xml:space="preserve">osób + </w:t>
      </w:r>
      <w:r>
        <w:rPr>
          <w:rFonts w:cs="Arial" w:ascii="Arial" w:hAnsi="Arial"/>
        </w:rPr>
        <w:t xml:space="preserve">2 704 </w:t>
      </w:r>
      <w:r>
        <w:rPr>
          <w:rFonts w:cs="Arial" w:ascii="Arial" w:hAnsi="Arial"/>
          <w:color w:val="000000" w:themeColor="text1"/>
        </w:rPr>
        <w:t>osób  = 15 679 osób</w:t>
      </w:r>
    </w:p>
    <w:p>
      <w:pPr>
        <w:pStyle w:val="Normal"/>
        <w:spacing w:lineRule="auto" w:line="288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Suma chłonności terenów niezabudowanych, w tym w lukach w istniejącej zabudowie wynosi 17 327 osób + 15 579 osób  = 33 006 osób</w:t>
      </w:r>
    </w:p>
    <w:p>
      <w:pPr>
        <w:pStyle w:val="Normal"/>
        <w:spacing w:lineRule="auto" w:line="288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Procent wykorzystania zapotrzebowania w terenach niezabudowanych, w tym w lukach w istniejącej zabudowie wyliczono według wzoru : (chłonność * 100)/zapotrzebowanie = (33 006 * 100) / 23 711 = 3 300 600 / 23 711 = 139 %</w:t>
      </w:r>
    </w:p>
    <w:p>
      <w:pPr>
        <w:pStyle w:val="Normal"/>
        <w:spacing w:lineRule="auto" w:line="288"/>
        <w:ind w:left="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Chłonność zapewnia więc wykorzystanie zapotrzebowania na nową zabudowę mieszkaniową w gminie w wysokości:</w:t>
      </w:r>
      <w:r>
        <w:rPr>
          <w:rFonts w:cs="Arial" w:ascii="Arial" w:hAnsi="Arial"/>
          <w:b/>
          <w:bCs/>
        </w:rPr>
        <w:t xml:space="preserve"> 139 %. 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120"/>
        <w:ind w:left="48" w:firstLine="360"/>
        <w:jc w:val="both"/>
        <w:rPr>
          <w:rStyle w:val="Domylnaczcionkaakapitu1"/>
          <w:rFonts w:ascii="Arial" w:hAnsi="Arial" w:cs="Arial"/>
          <w:color w:val="000000"/>
        </w:rPr>
      </w:pPr>
      <w:r>
        <w:rPr>
          <w:rStyle w:val="Domylnaczcionkaakapitu1"/>
          <w:rFonts w:cs="Arial" w:ascii="Arial" w:hAnsi="Arial"/>
          <w:color w:val="000000"/>
        </w:rPr>
        <w:t>W dniu 31 października 2024 r. Rada Miejska w Sosnowcu podjęła uchwałę nr 122/VII/2024 w sprawie przystąpienia do sporządzenia planu ogólnego miasta Sosnowca.</w:t>
      </w:r>
    </w:p>
    <w:p>
      <w:pPr>
        <w:pStyle w:val="Normal"/>
        <w:spacing w:lineRule="auto" w:line="288" w:before="120" w:after="120"/>
        <w:ind w:left="48" w:hanging="0"/>
        <w:jc w:val="both"/>
        <w:rPr>
          <w:rFonts w:ascii="Arial" w:hAnsi="Arial" w:cs="Arial"/>
          <w:color w:val="000000"/>
        </w:rPr>
      </w:pPr>
      <w:r>
        <w:rPr>
          <w:rStyle w:val="Domylnaczcionkaakapitu1"/>
          <w:rFonts w:cs="Arial" w:ascii="Arial" w:hAnsi="Arial"/>
          <w:color w:val="000000"/>
        </w:rPr>
        <w:t xml:space="preserve"> </w:t>
      </w:r>
      <w:r>
        <w:rPr>
          <w:rStyle w:val="Domylnaczcionkaakapitu1"/>
          <w:rFonts w:cs="Arial" w:ascii="Arial" w:hAnsi="Arial"/>
          <w:color w:val="000000"/>
        </w:rPr>
        <w:tab/>
      </w:r>
      <w:r>
        <w:rPr>
          <w:rFonts w:cs="Arial" w:ascii="Arial" w:hAnsi="Arial"/>
          <w:color w:val="000000"/>
        </w:rPr>
        <w:t xml:space="preserve">W okresie od 9 grudnia 2024 r. do 24 stycznia 2025 r. wyznaczono termin, w którym istniała możliwość składania wniosków do opracowywanego projektu planu ogólnego. Był to czas przeznaczony dla wszystkich zainteresowanych – mieszkańców, właścicieli nieruchomości oraz podmiotów gospodarczych – na zgłaszanie swoich propozycji, uwag i postulatów dotyczących przyszłego zagospodarowania przestrzennego. </w:t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W wyznaczonym terminie wpłynęło 211 wniosków. 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terenie miasta Sosnowca obowiązujące miejscowe plany zagospodarowania przestrzennego, które pokrywają obszar około 73% powierzchni całej gminy. Na przestrzeni około 12 lat zakres ten zmienił się znacznie o około 50% przy czym znaczna część dotyczy terenów, gdzie wydawane decyzje o warunkach zabudowy dotyczyły istniejącego zagospodarowania. Dla najbardziej zurbanizowanej części miasta planów miejscowych nie było i w tym zakresie nastąpiła zmiana. 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/>
        <w:drawing>
          <wp:inline distT="0" distB="5715" distL="0" distR="0">
            <wp:extent cx="5760720" cy="4070985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</w:p>
    <w:p>
      <w:pPr>
        <w:pStyle w:val="Normal"/>
        <w:spacing w:lineRule="auto" w:line="288" w:before="0" w:after="160"/>
        <w:jc w:val="both"/>
        <w:rPr/>
      </w:pPr>
      <w:r>
        <w:rPr>
          <w:rFonts w:cs="Arial" w:ascii="Arial" w:hAnsi="Arial"/>
        </w:rPr>
        <w:t>Biorąc pod uwagę zapisy ustawy premiuje ona te gminy, które posiadają plany miejscowe. Obecnie sporządzane są miejscowe planu zagospodarowania przestrzennego dla terenów, dla których nie obowiązują. Część z nich będzie opierała się już o ustalenia planu ogólnego, który powinien być przyjęty do końca sierpnia 2026 r. Aktualny etap prac – oczekiwanie na strategię rozwoju – pozwoli na rozpoczęcie procedury uzgadniania i opiniowania od czerwca 2026 r. Obecnie trwają prace nad ostatecznym jego kształtem.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481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1e9f"/>
    <w:rPr>
      <w:color w:val="605E5C"/>
      <w:shd w:fill="E1DFDD" w:val="clear"/>
    </w:rPr>
  </w:style>
  <w:style w:type="character" w:styleId="Domylnaczcionkaakapitu1" w:customStyle="1">
    <w:name w:val="Domyślna czcionka akapitu1"/>
    <w:qFormat/>
    <w:rsid w:val="00f027d5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81e9f"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b3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5d1d78"/>
    <w:pPr>
      <w:widowControl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A398-A291-4167-801C-66854641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LibreOffice/5.4.1.2$Windows_x86 LibreOffice_project/ea7cb86e6eeb2bf3a5af73a8f7777ac570321527</Application>
  <Pages>6</Pages>
  <Words>1943</Words>
  <Characters>11988</Characters>
  <CharactersWithSpaces>13862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2026-04-16T09:26:00Z</dcterms:created>
  <dc:creator>Anna Kłoszewska-Wanik</dc:creator>
  <dc:description/>
  <dc:language>pl-PL</dc:language>
  <cp:lastModifiedBy>ums2024.026@outlook.com</cp:lastModifiedBy>
  <dcterms:modified xsi:type="dcterms:W3CDTF">2026-04-16T09:26:00Z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